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94" w:rsidRDefault="00BC7494" w:rsidP="00BC7494">
      <w:pPr>
        <w:adjustRightInd w:val="0"/>
        <w:snapToGrid w:val="0"/>
        <w:ind w:firstLineChars="0" w:firstLine="0"/>
        <w:rPr>
          <w:rFonts w:ascii="黑体" w:eastAsia="黑体" w:hAnsi="黑体"/>
          <w:b/>
          <w:sz w:val="44"/>
          <w:szCs w:val="44"/>
        </w:rPr>
      </w:pPr>
      <w:bookmarkStart w:id="0" w:name="_Toc80020877"/>
      <w:bookmarkStart w:id="1" w:name="_Toc80026788"/>
      <w:bookmarkStart w:id="2" w:name="_Toc79679975"/>
      <w:bookmarkStart w:id="3" w:name="_Toc79512328"/>
      <w:bookmarkStart w:id="4" w:name="_Toc80020911"/>
      <w:bookmarkStart w:id="5" w:name="_Toc79680422"/>
      <w:bookmarkStart w:id="6" w:name="_Toc79679762"/>
      <w:bookmarkStart w:id="7" w:name="_Toc79679313"/>
      <w:bookmarkStart w:id="8" w:name="_Toc80179107"/>
      <w:r>
        <w:rPr>
          <w:rFonts w:hint="eastAsia"/>
          <w:b/>
        </w:rPr>
        <w:t>附件</w:t>
      </w:r>
    </w:p>
    <w:p w:rsidR="00F96FB1" w:rsidRDefault="00F96FB1">
      <w:pPr>
        <w:spacing w:line="360" w:lineRule="auto"/>
        <w:ind w:firstLineChars="0" w:firstLine="0"/>
        <w:jc w:val="left"/>
      </w:pPr>
    </w:p>
    <w:p w:rsidR="00F96FB1" w:rsidRDefault="00D33884">
      <w:pPr>
        <w:ind w:firstLineChars="0" w:firstLine="0"/>
        <w:jc w:val="center"/>
        <w:rPr>
          <w:rFonts w:ascii="黑体" w:eastAsia="黑体" w:hAnsi="黑体"/>
          <w:b/>
          <w:sz w:val="44"/>
          <w:szCs w:val="44"/>
        </w:rPr>
      </w:pPr>
      <w:r>
        <w:rPr>
          <w:rFonts w:ascii="黑体" w:eastAsia="黑体" w:hAnsi="黑体" w:hint="eastAsia"/>
          <w:b/>
          <w:sz w:val="44"/>
          <w:szCs w:val="44"/>
        </w:rPr>
        <w:t>上海证券交易所会员管理业务指南</w:t>
      </w:r>
      <w:bookmarkStart w:id="9" w:name="_Toc79512329"/>
      <w:bookmarkStart w:id="10" w:name="_Toc80020912"/>
      <w:bookmarkStart w:id="11" w:name="_Toc80020878"/>
      <w:bookmarkStart w:id="12" w:name="_Toc79679976"/>
      <w:bookmarkStart w:id="13" w:name="_Toc79679763"/>
      <w:bookmarkStart w:id="14" w:name="_Toc80026789"/>
      <w:bookmarkStart w:id="15" w:name="_Toc79679314"/>
      <w:bookmarkStart w:id="16" w:name="_Toc79680423"/>
      <w:bookmarkEnd w:id="0"/>
      <w:bookmarkEnd w:id="1"/>
      <w:bookmarkEnd w:id="2"/>
      <w:bookmarkEnd w:id="3"/>
      <w:bookmarkEnd w:id="4"/>
      <w:bookmarkEnd w:id="5"/>
      <w:bookmarkEnd w:id="6"/>
      <w:bookmarkEnd w:id="7"/>
      <w:r>
        <w:rPr>
          <w:rFonts w:ascii="黑体" w:eastAsia="黑体" w:hAnsi="黑体" w:hint="eastAsia"/>
          <w:b/>
          <w:sz w:val="44"/>
          <w:szCs w:val="44"/>
        </w:rPr>
        <w:t>第</w:t>
      </w:r>
      <w:r>
        <w:rPr>
          <w:rFonts w:ascii="黑体" w:eastAsia="黑体" w:hAnsi="黑体"/>
          <w:b/>
          <w:sz w:val="44"/>
          <w:szCs w:val="44"/>
        </w:rPr>
        <w:t>2号——</w:t>
      </w:r>
      <w:bookmarkStart w:id="17" w:name="_Toc80179108"/>
      <w:bookmarkEnd w:id="8"/>
      <w:r>
        <w:rPr>
          <w:rFonts w:ascii="黑体" w:eastAsia="黑体" w:hAnsi="黑体"/>
          <w:b/>
          <w:sz w:val="44"/>
          <w:szCs w:val="44"/>
        </w:rPr>
        <w:t>风险揭示书</w:t>
      </w:r>
      <w:bookmarkEnd w:id="9"/>
      <w:r>
        <w:rPr>
          <w:rFonts w:ascii="黑体" w:eastAsia="黑体" w:hAnsi="黑体" w:hint="eastAsia"/>
          <w:b/>
          <w:sz w:val="44"/>
          <w:szCs w:val="44"/>
        </w:rPr>
        <w:t>必备条款</w:t>
      </w:r>
      <w:bookmarkEnd w:id="10"/>
      <w:bookmarkEnd w:id="11"/>
      <w:bookmarkEnd w:id="12"/>
      <w:bookmarkEnd w:id="13"/>
      <w:bookmarkEnd w:id="14"/>
      <w:bookmarkEnd w:id="15"/>
      <w:bookmarkEnd w:id="16"/>
      <w:bookmarkEnd w:id="17"/>
      <w:r>
        <w:rPr>
          <w:rFonts w:ascii="黑体" w:eastAsia="黑体" w:hAnsi="黑体" w:hint="eastAsia"/>
          <w:b/>
          <w:sz w:val="44"/>
          <w:szCs w:val="44"/>
        </w:rPr>
        <w:t>（2023年2月修订）</w:t>
      </w:r>
    </w:p>
    <w:p w:rsidR="00F96FB1" w:rsidRDefault="00F96FB1">
      <w:pPr>
        <w:pStyle w:val="a0"/>
        <w:ind w:firstLine="600"/>
      </w:pPr>
    </w:p>
    <w:p w:rsidR="00F96FB1" w:rsidRDefault="00D33884" w:rsidP="00B47C68">
      <w:pPr>
        <w:spacing w:line="360" w:lineRule="auto"/>
      </w:pPr>
      <w:r>
        <w:rPr>
          <w:rFonts w:hint="eastAsia"/>
        </w:rPr>
        <w:t>第一条</w:t>
      </w:r>
      <w:r>
        <w:t xml:space="preserve">  </w:t>
      </w:r>
      <w:r>
        <w:rPr>
          <w:rFonts w:hint="eastAsia"/>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rsidR="00F96FB1" w:rsidRDefault="00D33884" w:rsidP="00B47C68">
      <w:pPr>
        <w:spacing w:line="360" w:lineRule="auto"/>
      </w:pPr>
      <w:r>
        <w:rPr>
          <w:rFonts w:hint="eastAsia"/>
        </w:rPr>
        <w:t>第二条</w:t>
      </w:r>
      <w:r>
        <w:t xml:space="preserve">  </w:t>
      </w:r>
      <w:r>
        <w:rPr>
          <w:rFonts w:hint="eastAsia"/>
        </w:rPr>
        <w:t>本指南旨在对本所相关业务规则中规定的风险揭示书必备条款进行集中汇编，并按照相关交易品种进行分类列示和连续编号，以便于市场主体知悉和查询本所业务涉及的风险揭示书必备条款。</w:t>
      </w:r>
    </w:p>
    <w:p w:rsidR="00F96FB1" w:rsidRDefault="00D33884" w:rsidP="00B47C68">
      <w:pPr>
        <w:spacing w:line="360" w:lineRule="auto"/>
      </w:pPr>
      <w:r>
        <w:rPr>
          <w:rFonts w:hint="eastAsia"/>
        </w:rPr>
        <w:t>第三条</w:t>
      </w:r>
      <w:r>
        <w:t xml:space="preserve">  </w:t>
      </w:r>
      <w:r>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rsidR="00F96FB1" w:rsidRDefault="00D33884" w:rsidP="00B47C68">
      <w:pPr>
        <w:spacing w:line="360" w:lineRule="auto"/>
      </w:pPr>
      <w:r>
        <w:rPr>
          <w:rFonts w:hint="eastAsia"/>
        </w:rPr>
        <w:t>第四条</w:t>
      </w:r>
      <w:r>
        <w:t xml:space="preserve">  </w:t>
      </w:r>
      <w:r>
        <w:rPr>
          <w:rFonts w:hint="eastAsia"/>
        </w:rPr>
        <w:t>经营机构制定的风险揭示书应当至少包括本指南列示的相应业务风险揭示书必备条款，并可根据具体情况对该业务存在的风险做进一步列举。</w:t>
      </w:r>
    </w:p>
    <w:p w:rsidR="00F96FB1" w:rsidRDefault="00D33884">
      <w:pPr>
        <w:spacing w:line="360" w:lineRule="auto"/>
      </w:pPr>
      <w:r>
        <w:rPr>
          <w:rFonts w:hint="eastAsia"/>
        </w:rPr>
        <w:t>第五条</w:t>
      </w:r>
      <w:r>
        <w:t xml:space="preserve">  </w:t>
      </w:r>
      <w:r>
        <w:rPr>
          <w:rFonts w:hint="eastAsia"/>
        </w:rPr>
        <w:t>风险揭示书中应当以醒目的文字载明以下内容：</w:t>
      </w:r>
    </w:p>
    <w:p w:rsidR="00F96FB1" w:rsidRDefault="00D33884">
      <w:pPr>
        <w:spacing w:line="360" w:lineRule="auto"/>
      </w:pPr>
      <w:r>
        <w:rPr>
          <w:rFonts w:hint="eastAsia"/>
        </w:rPr>
        <w:lastRenderedPageBreak/>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rsidR="00F96FB1" w:rsidRDefault="00D33884">
      <w:pPr>
        <w:spacing w:line="360" w:lineRule="auto"/>
      </w:pPr>
      <w:r>
        <w:rPr>
          <w:rFonts w:hint="eastAsia"/>
        </w:rPr>
        <w:t>第六条</w:t>
      </w:r>
      <w:r>
        <w:t xml:space="preserve"> </w:t>
      </w:r>
      <w:r>
        <w:rPr>
          <w:rFonts w:hint="eastAsia"/>
        </w:rPr>
        <w:t>本所相关业务规则规定投资者参与相关交易之前需签署风险揭示书的，经营机构应当要求参与此项业务的普通投资者签署风险揭示书。</w:t>
      </w:r>
    </w:p>
    <w:p w:rsidR="00F96FB1" w:rsidRDefault="00D33884">
      <w:pPr>
        <w:spacing w:line="360" w:lineRule="auto"/>
      </w:pPr>
      <w:r>
        <w:rPr>
          <w:rFonts w:hint="eastAsia"/>
        </w:rPr>
        <w:t>符合《证券期货投资者适当性管理办法》规定条件的专业投资者，经营机构可以在充分提示业务风险的基础上，根据细化分类和管理情况决定是否要求其签署风险揭示书。</w:t>
      </w:r>
    </w:p>
    <w:p w:rsidR="00F96FB1" w:rsidRDefault="00D33884">
      <w:pPr>
        <w:spacing w:line="360" w:lineRule="auto"/>
      </w:pPr>
      <w:r>
        <w:rPr>
          <w:rFonts w:hint="eastAsia"/>
        </w:rPr>
        <w:t>经营机构可以通过在线签署等电子化方式，为投资者签署风险揭示书提供必要的便利。</w:t>
      </w:r>
    </w:p>
    <w:p w:rsidR="00F96FB1" w:rsidRDefault="00D33884">
      <w:pPr>
        <w:spacing w:line="360" w:lineRule="auto"/>
      </w:pPr>
      <w:r>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rsidR="00F96FB1" w:rsidRDefault="00D33884">
      <w:pPr>
        <w:spacing w:line="360" w:lineRule="auto"/>
      </w:pPr>
      <w:r>
        <w:rPr>
          <w:rFonts w:hint="eastAsia"/>
        </w:rPr>
        <w:t>投资者在风险揭示书上签字，或者专业投资者经充分告知风险后仍决定参与相关业务的，即表明其已经理解并愿意自行承担参与该项业务的风险和损失。</w:t>
      </w:r>
    </w:p>
    <w:p w:rsidR="00F96FB1" w:rsidRDefault="00D33884">
      <w:pPr>
        <w:spacing w:line="360" w:lineRule="auto"/>
      </w:pPr>
      <w:r>
        <w:rPr>
          <w:rFonts w:hint="eastAsia"/>
        </w:rPr>
        <w:t>第八条</w:t>
      </w:r>
      <w:r>
        <w:t xml:space="preserve">  </w:t>
      </w:r>
      <w:r>
        <w:rPr>
          <w:rFonts w:hint="eastAsia"/>
        </w:rPr>
        <w:t>本指南就本所市场涉及的风险揭示书必备条款按</w:t>
      </w:r>
      <w:r>
        <w:rPr>
          <w:rFonts w:hint="eastAsia"/>
        </w:rPr>
        <w:lastRenderedPageBreak/>
        <w:t>照所属品种类别编制索引，并标注各项风险揭示书必备条款发布或修订日期。本指南发布之后新增的风险揭示书必备条款将纳入相应品种索引并进行连续编号。</w:t>
      </w:r>
    </w:p>
    <w:p w:rsidR="00F96FB1" w:rsidRDefault="00D33884">
      <w:pPr>
        <w:spacing w:line="360" w:lineRule="auto"/>
      </w:pPr>
      <w:r>
        <w:rPr>
          <w:rFonts w:hint="eastAsia"/>
        </w:rPr>
        <w:t>第九条</w:t>
      </w:r>
      <w:r>
        <w:t xml:space="preserve">  </w:t>
      </w:r>
      <w:r>
        <w:rPr>
          <w:rFonts w:hint="eastAsia"/>
        </w:rPr>
        <w:t>本所如对相关业务风险揭示书必备条款进行修订，将在原索引编号下使用修订版本替换历史版本，并标注修订日期和修订内容，供经营机构和投资者知悉修改情况。</w:t>
      </w:r>
    </w:p>
    <w:p w:rsidR="00F96FB1" w:rsidRDefault="00D33884">
      <w:pPr>
        <w:spacing w:line="360" w:lineRule="auto"/>
      </w:pPr>
      <w:r>
        <w:rPr>
          <w:rFonts w:hint="eastAsia"/>
        </w:rPr>
        <w:t>第十条</w:t>
      </w:r>
      <w:r>
        <w:t xml:space="preserve">  </w:t>
      </w:r>
      <w:r>
        <w:rPr>
          <w:rFonts w:hint="eastAsia"/>
        </w:rPr>
        <w:t>本所对风险揭示书必备条款进行修订的，经营机构应当根据修订后的风险揭示书必备条款及时更新相应风险揭示书版本。</w:t>
      </w:r>
    </w:p>
    <w:p w:rsidR="00F96FB1" w:rsidRDefault="00D33884">
      <w:pPr>
        <w:spacing w:line="360" w:lineRule="auto"/>
      </w:pPr>
      <w:r>
        <w:rPr>
          <w:rFonts w:hint="eastAsia"/>
        </w:rPr>
        <w:t>经营机构应当通过短信、电话或交易系统提示等适当方式，向存量投资者充分告知新版风险揭示书修订事项，并留存告知记录。</w:t>
      </w:r>
    </w:p>
    <w:p w:rsidR="00F96FB1" w:rsidRDefault="00D33884">
      <w:pPr>
        <w:spacing w:line="360" w:lineRule="auto"/>
      </w:pPr>
      <w:r>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rsidR="00F96FB1" w:rsidRDefault="00D33884">
      <w:pPr>
        <w:spacing w:line="360" w:lineRule="auto"/>
      </w:pPr>
      <w:r>
        <w:rPr>
          <w:rFonts w:hint="eastAsia"/>
        </w:rPr>
        <w:t>第十一条</w:t>
      </w:r>
      <w:r>
        <w:t xml:space="preserve">  </w:t>
      </w:r>
      <w:r>
        <w:rPr>
          <w:rFonts w:hint="eastAsia"/>
        </w:rPr>
        <w:t>本指南由本所负责解释。</w:t>
      </w:r>
    </w:p>
    <w:p w:rsidR="00F96FB1" w:rsidRDefault="00D33884">
      <w:pPr>
        <w:spacing w:line="360" w:lineRule="auto"/>
      </w:pPr>
      <w:r>
        <w:rPr>
          <w:rFonts w:hint="eastAsia"/>
        </w:rPr>
        <w:t>第十二条</w:t>
      </w:r>
      <w:r>
        <w:t xml:space="preserve">  </w:t>
      </w:r>
      <w:r>
        <w:rPr>
          <w:rFonts w:hint="eastAsia"/>
        </w:rPr>
        <w:t>本指南自发布之日起施行。</w:t>
      </w:r>
    </w:p>
    <w:p w:rsidR="00F96FB1" w:rsidRDefault="00F96FB1">
      <w:pPr>
        <w:widowControl/>
        <w:ind w:firstLineChars="0" w:firstLine="0"/>
        <w:jc w:val="left"/>
      </w:pPr>
    </w:p>
    <w:p w:rsidR="00F96FB1" w:rsidRDefault="00D33884">
      <w:pPr>
        <w:widowControl/>
        <w:ind w:firstLineChars="0" w:firstLine="0"/>
        <w:jc w:val="left"/>
      </w:pPr>
      <w:r>
        <w:rPr>
          <w:rFonts w:hint="eastAsia"/>
        </w:rPr>
        <w:t>附件:投资者风险揭示书必备条款索引及文本</w:t>
      </w:r>
    </w:p>
    <w:p w:rsidR="00F96FB1" w:rsidRDefault="00F96FB1">
      <w:pPr>
        <w:widowControl/>
        <w:spacing w:line="240" w:lineRule="auto"/>
        <w:ind w:firstLineChars="0" w:firstLine="0"/>
        <w:jc w:val="left"/>
        <w:rPr>
          <w:sz w:val="24"/>
          <w:szCs w:val="24"/>
        </w:rPr>
        <w:sectPr w:rsidR="00F96F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F96FB1" w:rsidRDefault="00D33884">
      <w:pPr>
        <w:widowControl/>
        <w:spacing w:line="240" w:lineRule="auto"/>
        <w:ind w:firstLineChars="0" w:firstLine="0"/>
        <w:jc w:val="left"/>
        <w:rPr>
          <w:sz w:val="24"/>
          <w:szCs w:val="24"/>
        </w:rPr>
      </w:pPr>
      <w:r>
        <w:rPr>
          <w:rFonts w:hint="eastAsia"/>
          <w:sz w:val="24"/>
          <w:szCs w:val="24"/>
        </w:rPr>
        <w:lastRenderedPageBreak/>
        <w:t>附件：</w:t>
      </w:r>
    </w:p>
    <w:p w:rsidR="00F96FB1" w:rsidRDefault="00D33884">
      <w:pPr>
        <w:spacing w:line="360" w:lineRule="auto"/>
        <w:ind w:firstLine="803"/>
        <w:jc w:val="center"/>
        <w:rPr>
          <w:rFonts w:ascii="宋体" w:eastAsia="宋体" w:hAnsi="宋体"/>
          <w:b/>
          <w:sz w:val="40"/>
          <w:szCs w:val="24"/>
        </w:rPr>
      </w:pPr>
      <w:r>
        <w:rPr>
          <w:rFonts w:ascii="宋体" w:eastAsia="宋体" w:hAnsi="宋体" w:hint="eastAsia"/>
          <w:b/>
          <w:sz w:val="40"/>
          <w:szCs w:val="24"/>
        </w:rPr>
        <w:t>上海证券交易所投资者风险揭示书</w:t>
      </w:r>
    </w:p>
    <w:p w:rsidR="00F96FB1" w:rsidRDefault="00D33884">
      <w:pPr>
        <w:spacing w:line="276" w:lineRule="auto"/>
        <w:ind w:firstLineChars="0" w:firstLine="0"/>
        <w:jc w:val="center"/>
        <w:rPr>
          <w:rFonts w:ascii="宋体" w:eastAsia="宋体" w:hAnsi="宋体"/>
          <w:b/>
          <w:sz w:val="40"/>
          <w:szCs w:val="24"/>
        </w:rPr>
      </w:pPr>
      <w:r>
        <w:rPr>
          <w:rFonts w:ascii="宋体" w:eastAsia="宋体" w:hAnsi="宋体" w:hint="eastAsia"/>
          <w:b/>
          <w:sz w:val="40"/>
          <w:szCs w:val="24"/>
        </w:rPr>
        <w:t>必备条款索引</w:t>
      </w:r>
    </w:p>
    <w:p w:rsidR="00F96FB1" w:rsidRDefault="00F96FB1">
      <w:pPr>
        <w:spacing w:line="276" w:lineRule="auto"/>
        <w:ind w:firstLineChars="0" w:firstLine="0"/>
        <w:jc w:val="center"/>
        <w:rPr>
          <w:rFonts w:ascii="宋体" w:eastAsia="宋体" w:hAnsi="宋体"/>
          <w:b/>
          <w:sz w:val="40"/>
          <w:szCs w:val="24"/>
        </w:rPr>
      </w:pPr>
    </w:p>
    <w:p w:rsidR="00F96FB1" w:rsidRDefault="00FF0931">
      <w:pPr>
        <w:pStyle w:val="10"/>
        <w:spacing w:before="156"/>
        <w:rPr>
          <w:rFonts w:ascii="仿宋_GB2312" w:eastAsia="仿宋_GB2312" w:hAnsiTheme="minorHAnsi" w:cstheme="minorBidi"/>
          <w:b w:val="0"/>
          <w:kern w:val="2"/>
        </w:rPr>
      </w:pPr>
      <w:r>
        <w:rPr>
          <w:rFonts w:ascii="仿宋_GB2312" w:eastAsia="仿宋_GB2312" w:hAnsi="宋体" w:hint="eastAsia"/>
        </w:rPr>
        <w:fldChar w:fldCharType="begin"/>
      </w:r>
      <w:r w:rsidR="00D33884">
        <w:rPr>
          <w:rFonts w:ascii="仿宋_GB2312" w:eastAsia="仿宋_GB2312" w:hAnsi="宋体" w:hint="eastAsia"/>
        </w:rPr>
        <w:instrText xml:space="preserve"> TOC \o "1-3" \h \z \u </w:instrText>
      </w:r>
      <w:r>
        <w:rPr>
          <w:rFonts w:ascii="仿宋_GB2312" w:eastAsia="仿宋_GB2312" w:hAnsi="宋体" w:hint="eastAsia"/>
        </w:rPr>
        <w:fldChar w:fldCharType="separate"/>
      </w:r>
      <w:hyperlink w:anchor="_Toc117606490" w:history="1">
        <w:r w:rsidR="00D33884">
          <w:rPr>
            <w:rStyle w:val="ac"/>
            <w:rFonts w:ascii="仿宋_GB2312" w:eastAsia="仿宋_GB2312" w:hint="eastAsia"/>
          </w:rPr>
          <w:t>I. 股票及存托凭证</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_Toc117606490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6</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491" w:history="1">
        <w:r w:rsidR="00D33884">
          <w:rPr>
            <w:rStyle w:val="ac"/>
            <w:rFonts w:hint="eastAsia"/>
            <w:sz w:val="24"/>
            <w:szCs w:val="24"/>
          </w:rPr>
          <w:t>1.1上海证券交易所主板投资风险揭示书必备条款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_Toc117606491 \h </w:instrText>
        </w:r>
        <w:r>
          <w:rPr>
            <w:rFonts w:hint="eastAsia"/>
            <w:sz w:val="24"/>
            <w:szCs w:val="24"/>
          </w:rPr>
        </w:r>
        <w:r>
          <w:rPr>
            <w:rFonts w:hint="eastAsia"/>
            <w:sz w:val="24"/>
            <w:szCs w:val="24"/>
          </w:rPr>
          <w:fldChar w:fldCharType="separate"/>
        </w:r>
        <w:r w:rsidR="00D33884">
          <w:rPr>
            <w:rFonts w:hint="eastAsia"/>
            <w:sz w:val="24"/>
            <w:szCs w:val="24"/>
          </w:rPr>
          <w:t>6</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3" w:history="1">
        <w:r w:rsidR="00D33884">
          <w:rPr>
            <w:rStyle w:val="ac"/>
            <w:rFonts w:hint="eastAsia"/>
            <w:sz w:val="24"/>
            <w:szCs w:val="24"/>
          </w:rPr>
          <w:t>1.2 上海证券交易所风险警示股票投资者风险揭示书必备条款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_Toc117606493 \h </w:instrText>
        </w:r>
        <w:r>
          <w:rPr>
            <w:rFonts w:hint="eastAsia"/>
            <w:sz w:val="24"/>
            <w:szCs w:val="24"/>
          </w:rPr>
        </w:r>
        <w:r>
          <w:rPr>
            <w:rFonts w:hint="eastAsia"/>
            <w:sz w:val="24"/>
            <w:szCs w:val="24"/>
          </w:rPr>
          <w:fldChar w:fldCharType="separate"/>
        </w:r>
        <w:r w:rsidR="00D33884">
          <w:rPr>
            <w:rFonts w:hint="eastAsia"/>
            <w:sz w:val="24"/>
            <w:szCs w:val="24"/>
          </w:rPr>
          <w:t>10</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4" w:history="1">
        <w:r w:rsidR="00D33884">
          <w:rPr>
            <w:rStyle w:val="ac"/>
            <w:rFonts w:hint="eastAsia"/>
            <w:sz w:val="24"/>
            <w:szCs w:val="24"/>
          </w:rPr>
          <w:t>1.3 上海证券交易所退市整理股票投资者风险揭示书必备条款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_Toc117606494 \h </w:instrText>
        </w:r>
        <w:r>
          <w:rPr>
            <w:rFonts w:hint="eastAsia"/>
            <w:sz w:val="24"/>
            <w:szCs w:val="24"/>
          </w:rPr>
        </w:r>
        <w:r>
          <w:rPr>
            <w:rFonts w:hint="eastAsia"/>
            <w:sz w:val="24"/>
            <w:szCs w:val="24"/>
          </w:rPr>
          <w:fldChar w:fldCharType="separate"/>
        </w:r>
        <w:r w:rsidR="00D33884">
          <w:rPr>
            <w:rFonts w:hint="eastAsia"/>
            <w:sz w:val="24"/>
            <w:szCs w:val="24"/>
          </w:rPr>
          <w:t>13</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5" w:history="1">
        <w:r w:rsidR="00D33884">
          <w:rPr>
            <w:rStyle w:val="ac"/>
            <w:rFonts w:hint="eastAsia"/>
            <w:sz w:val="24"/>
            <w:szCs w:val="24"/>
          </w:rPr>
          <w:t>1.4 上海证券交易所科创板股票投资者风险揭示书必备条款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_Toc117606495 \h </w:instrText>
        </w:r>
        <w:r>
          <w:rPr>
            <w:rFonts w:hint="eastAsia"/>
            <w:sz w:val="24"/>
            <w:szCs w:val="24"/>
          </w:rPr>
        </w:r>
        <w:r>
          <w:rPr>
            <w:rFonts w:hint="eastAsia"/>
            <w:sz w:val="24"/>
            <w:szCs w:val="24"/>
          </w:rPr>
          <w:fldChar w:fldCharType="separate"/>
        </w:r>
        <w:r w:rsidR="00D33884">
          <w:rPr>
            <w:rFonts w:hint="eastAsia"/>
            <w:sz w:val="24"/>
            <w:szCs w:val="24"/>
          </w:rPr>
          <w:t>16</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7" w:history="1">
        <w:r w:rsidR="00D33884">
          <w:rPr>
            <w:rStyle w:val="ac"/>
            <w:rFonts w:hint="eastAsia"/>
            <w:sz w:val="24"/>
            <w:szCs w:val="24"/>
          </w:rPr>
          <w:t>1.5 上海证券交易所试点创新企业股票或存托凭证投资者风险揭示书必备条款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_Toc117606497 \h </w:instrText>
        </w:r>
        <w:r>
          <w:rPr>
            <w:rFonts w:hint="eastAsia"/>
            <w:sz w:val="24"/>
            <w:szCs w:val="24"/>
          </w:rPr>
        </w:r>
        <w:r>
          <w:rPr>
            <w:rFonts w:hint="eastAsia"/>
            <w:sz w:val="24"/>
            <w:szCs w:val="24"/>
          </w:rPr>
          <w:fldChar w:fldCharType="separate"/>
        </w:r>
        <w:r w:rsidR="00D33884">
          <w:rPr>
            <w:rFonts w:hint="eastAsia"/>
            <w:sz w:val="24"/>
            <w:szCs w:val="24"/>
          </w:rPr>
          <w:t>25</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8" w:history="1">
        <w:r w:rsidR="00D33884">
          <w:rPr>
            <w:rStyle w:val="ac"/>
            <w:rFonts w:hint="eastAsia"/>
            <w:sz w:val="24"/>
            <w:szCs w:val="24"/>
          </w:rPr>
          <w:t>1.6 上海证券交易所优先股投资者风险揭示书必备条款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_Toc117606498 \h </w:instrText>
        </w:r>
        <w:r>
          <w:rPr>
            <w:rFonts w:hint="eastAsia"/>
            <w:sz w:val="24"/>
            <w:szCs w:val="24"/>
          </w:rPr>
        </w:r>
        <w:r>
          <w:rPr>
            <w:rFonts w:hint="eastAsia"/>
            <w:sz w:val="24"/>
            <w:szCs w:val="24"/>
          </w:rPr>
          <w:fldChar w:fldCharType="separate"/>
        </w:r>
        <w:r w:rsidR="00D33884">
          <w:rPr>
            <w:rFonts w:hint="eastAsia"/>
            <w:sz w:val="24"/>
            <w:szCs w:val="24"/>
          </w:rPr>
          <w:t>33</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499" w:history="1">
        <w:r w:rsidR="00D33884">
          <w:rPr>
            <w:rStyle w:val="ac"/>
            <w:rFonts w:hint="eastAsia"/>
            <w:sz w:val="24"/>
            <w:szCs w:val="24"/>
          </w:rPr>
          <w:t>1.7 上海证券交易所港股通投资者风险揭示书必备条款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_Toc117606499 \h </w:instrText>
        </w:r>
        <w:r>
          <w:rPr>
            <w:rFonts w:hint="eastAsia"/>
            <w:sz w:val="24"/>
            <w:szCs w:val="24"/>
          </w:rPr>
        </w:r>
        <w:r>
          <w:rPr>
            <w:rFonts w:hint="eastAsia"/>
            <w:sz w:val="24"/>
            <w:szCs w:val="24"/>
          </w:rPr>
          <w:fldChar w:fldCharType="separate"/>
        </w:r>
        <w:r w:rsidR="00D33884">
          <w:rPr>
            <w:rFonts w:hint="eastAsia"/>
            <w:sz w:val="24"/>
            <w:szCs w:val="24"/>
          </w:rPr>
          <w:t>39</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0" w:history="1">
        <w:r w:rsidR="00D33884">
          <w:rPr>
            <w:rStyle w:val="ac"/>
            <w:rFonts w:hint="eastAsia"/>
            <w:sz w:val="24"/>
            <w:szCs w:val="24"/>
          </w:rPr>
          <w:t>1.8上海证券交易所沪伦通存托凭证投资者风险揭示书必备条款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_Toc117606500 \h </w:instrText>
        </w:r>
        <w:r>
          <w:rPr>
            <w:rFonts w:hint="eastAsia"/>
            <w:sz w:val="24"/>
            <w:szCs w:val="24"/>
          </w:rPr>
        </w:r>
        <w:r>
          <w:rPr>
            <w:rFonts w:hint="eastAsia"/>
            <w:sz w:val="24"/>
            <w:szCs w:val="24"/>
          </w:rPr>
          <w:fldChar w:fldCharType="separate"/>
        </w:r>
        <w:r w:rsidR="00D33884">
          <w:rPr>
            <w:rFonts w:hint="eastAsia"/>
            <w:sz w:val="24"/>
            <w:szCs w:val="24"/>
          </w:rPr>
          <w:t>52</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1" w:history="1">
        <w:r w:rsidR="00D33884">
          <w:rPr>
            <w:rStyle w:val="ac"/>
            <w:rFonts w:hint="eastAsia"/>
            <w:sz w:val="24"/>
            <w:szCs w:val="24"/>
          </w:rPr>
          <w:t>1.9 上海证券交易所融资融券投资者风险揭示书必备条款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_Toc117606501 \h </w:instrText>
        </w:r>
        <w:r>
          <w:rPr>
            <w:rFonts w:hint="eastAsia"/>
            <w:sz w:val="24"/>
            <w:szCs w:val="24"/>
          </w:rPr>
        </w:r>
        <w:r>
          <w:rPr>
            <w:rFonts w:hint="eastAsia"/>
            <w:sz w:val="24"/>
            <w:szCs w:val="24"/>
          </w:rPr>
          <w:fldChar w:fldCharType="separate"/>
        </w:r>
        <w:r w:rsidR="00D33884">
          <w:rPr>
            <w:rFonts w:hint="eastAsia"/>
            <w:sz w:val="24"/>
            <w:szCs w:val="24"/>
          </w:rPr>
          <w:t>61</w:t>
        </w:r>
        <w:r>
          <w:rPr>
            <w:rFonts w:hint="eastAsia"/>
            <w:sz w:val="24"/>
            <w:szCs w:val="24"/>
          </w:rPr>
          <w:fldChar w:fldCharType="end"/>
        </w:r>
      </w:hyperlink>
    </w:p>
    <w:p w:rsidR="00F96FB1" w:rsidRDefault="00FF0931">
      <w:pPr>
        <w:pStyle w:val="20"/>
        <w:rPr>
          <w:rFonts w:asciiTheme="minorHAnsi" w:eastAsiaTheme="minorEastAsia" w:hAnsiTheme="minorHAnsi" w:cstheme="minorBidi"/>
          <w:kern w:val="2"/>
          <w:sz w:val="21"/>
          <w:szCs w:val="22"/>
        </w:rPr>
      </w:pPr>
      <w:hyperlink w:anchor="_Toc117606502" w:history="1">
        <w:r w:rsidR="00D33884">
          <w:rPr>
            <w:rStyle w:val="ac"/>
            <w:rFonts w:hint="eastAsia"/>
            <w:sz w:val="24"/>
            <w:szCs w:val="24"/>
          </w:rPr>
          <w:t>1.10 上海证券交易所转融通证券出借投资者风险揭示书必备条款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_Toc117606502 \h </w:instrText>
        </w:r>
        <w:r>
          <w:rPr>
            <w:rFonts w:hint="eastAsia"/>
            <w:sz w:val="24"/>
            <w:szCs w:val="24"/>
          </w:rPr>
        </w:r>
        <w:r>
          <w:rPr>
            <w:rFonts w:hint="eastAsia"/>
            <w:sz w:val="24"/>
            <w:szCs w:val="24"/>
          </w:rPr>
          <w:fldChar w:fldCharType="separate"/>
        </w:r>
        <w:r w:rsidR="00D33884">
          <w:rPr>
            <w:rFonts w:hint="eastAsia"/>
            <w:sz w:val="24"/>
            <w:szCs w:val="24"/>
          </w:rPr>
          <w:t>64</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3" w:history="1">
        <w:r w:rsidR="00D33884">
          <w:rPr>
            <w:rStyle w:val="ac"/>
            <w:rFonts w:hint="eastAsia"/>
            <w:sz w:val="24"/>
            <w:szCs w:val="24"/>
          </w:rPr>
          <w:t>1.11上海证券交易所约定购回式证券交易投资者风险揭示书必备条款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_Toc117606503 \h </w:instrText>
        </w:r>
        <w:r>
          <w:rPr>
            <w:rFonts w:hint="eastAsia"/>
            <w:sz w:val="24"/>
            <w:szCs w:val="24"/>
          </w:rPr>
        </w:r>
        <w:r>
          <w:rPr>
            <w:rFonts w:hint="eastAsia"/>
            <w:sz w:val="24"/>
            <w:szCs w:val="24"/>
          </w:rPr>
          <w:fldChar w:fldCharType="separate"/>
        </w:r>
        <w:r w:rsidR="00D33884">
          <w:rPr>
            <w:rFonts w:hint="eastAsia"/>
            <w:sz w:val="24"/>
            <w:szCs w:val="24"/>
          </w:rPr>
          <w:t>69</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4" w:history="1">
        <w:r w:rsidR="00D33884">
          <w:rPr>
            <w:rStyle w:val="ac"/>
            <w:rFonts w:hint="eastAsia"/>
            <w:sz w:val="24"/>
            <w:szCs w:val="24"/>
          </w:rPr>
          <w:t>1.12 上海证券交易所股票质押式回购交易投资者风险揭示书必备条款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_Toc117606504 \h </w:instrText>
        </w:r>
        <w:r>
          <w:rPr>
            <w:rFonts w:hint="eastAsia"/>
            <w:sz w:val="24"/>
            <w:szCs w:val="24"/>
          </w:rPr>
        </w:r>
        <w:r>
          <w:rPr>
            <w:rFonts w:hint="eastAsia"/>
            <w:sz w:val="24"/>
            <w:szCs w:val="24"/>
          </w:rPr>
          <w:fldChar w:fldCharType="separate"/>
        </w:r>
        <w:r w:rsidR="00D33884">
          <w:rPr>
            <w:rFonts w:hint="eastAsia"/>
            <w:sz w:val="24"/>
            <w:szCs w:val="24"/>
          </w:rPr>
          <w:t>73</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5" w:history="1">
        <w:r w:rsidR="00D33884">
          <w:rPr>
            <w:rStyle w:val="ac"/>
            <w:rFonts w:hint="eastAsia"/>
            <w:sz w:val="24"/>
            <w:szCs w:val="24"/>
          </w:rPr>
          <w:t>1.13 上海证券交易所质押式报价回购交易投资者风险揭示书必备条款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_Toc117606505 \h </w:instrText>
        </w:r>
        <w:r>
          <w:rPr>
            <w:rFonts w:hint="eastAsia"/>
            <w:sz w:val="24"/>
            <w:szCs w:val="24"/>
          </w:rPr>
        </w:r>
        <w:r>
          <w:rPr>
            <w:rFonts w:hint="eastAsia"/>
            <w:sz w:val="24"/>
            <w:szCs w:val="24"/>
          </w:rPr>
          <w:fldChar w:fldCharType="separate"/>
        </w:r>
        <w:r w:rsidR="00D33884">
          <w:rPr>
            <w:rFonts w:hint="eastAsia"/>
            <w:sz w:val="24"/>
            <w:szCs w:val="24"/>
          </w:rPr>
          <w:t>77</w:t>
        </w:r>
        <w:r>
          <w:rPr>
            <w:rFonts w:hint="eastAsia"/>
            <w:sz w:val="24"/>
            <w:szCs w:val="24"/>
          </w:rPr>
          <w:fldChar w:fldCharType="end"/>
        </w:r>
      </w:hyperlink>
    </w:p>
    <w:p w:rsidR="00F96FB1" w:rsidRDefault="00FF0931">
      <w:pPr>
        <w:pStyle w:val="10"/>
        <w:spacing w:before="156"/>
        <w:rPr>
          <w:rFonts w:ascii="仿宋_GB2312" w:eastAsia="仿宋_GB2312" w:hAnsiTheme="minorHAnsi" w:cstheme="minorBidi"/>
          <w:b w:val="0"/>
          <w:kern w:val="2"/>
        </w:rPr>
      </w:pPr>
      <w:hyperlink w:anchor="_Toc117606506" w:history="1">
        <w:r w:rsidR="00D33884">
          <w:rPr>
            <w:rStyle w:val="ac"/>
            <w:rFonts w:ascii="仿宋_GB2312" w:eastAsia="仿宋_GB2312" w:hint="eastAsia"/>
          </w:rPr>
          <w:t>II. 债券</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_Toc117606506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81</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507" w:history="1">
        <w:r w:rsidR="00D33884">
          <w:rPr>
            <w:rStyle w:val="ac"/>
            <w:rFonts w:hint="eastAsia"/>
            <w:sz w:val="24"/>
            <w:szCs w:val="24"/>
          </w:rPr>
          <w:t>2.1 上海证券交易所国债预发行交易投资者风险揭示书必备条款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_Toc117606507 \h </w:instrText>
        </w:r>
        <w:r>
          <w:rPr>
            <w:rFonts w:hint="eastAsia"/>
            <w:sz w:val="24"/>
            <w:szCs w:val="24"/>
          </w:rPr>
        </w:r>
        <w:r>
          <w:rPr>
            <w:rFonts w:hint="eastAsia"/>
            <w:sz w:val="24"/>
            <w:szCs w:val="24"/>
          </w:rPr>
          <w:fldChar w:fldCharType="separate"/>
        </w:r>
        <w:r w:rsidR="00D33884">
          <w:rPr>
            <w:rFonts w:hint="eastAsia"/>
            <w:sz w:val="24"/>
            <w:szCs w:val="24"/>
          </w:rPr>
          <w:t>81</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8" w:history="1">
        <w:r w:rsidR="00D33884">
          <w:rPr>
            <w:rStyle w:val="ac"/>
            <w:rFonts w:hint="eastAsia"/>
            <w:sz w:val="24"/>
            <w:szCs w:val="24"/>
          </w:rPr>
          <w:t>2.2 上海证券交易所向不特定对象发行的可转换公司债券投资者风险揭示书必备条款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_Toc117606508 \h </w:instrText>
        </w:r>
        <w:r>
          <w:rPr>
            <w:rFonts w:hint="eastAsia"/>
            <w:sz w:val="24"/>
            <w:szCs w:val="24"/>
          </w:rPr>
        </w:r>
        <w:r>
          <w:rPr>
            <w:rFonts w:hint="eastAsia"/>
            <w:sz w:val="24"/>
            <w:szCs w:val="24"/>
          </w:rPr>
          <w:fldChar w:fldCharType="separate"/>
        </w:r>
        <w:r w:rsidR="00D33884">
          <w:rPr>
            <w:rFonts w:hint="eastAsia"/>
            <w:sz w:val="24"/>
            <w:szCs w:val="24"/>
          </w:rPr>
          <w:t>86</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09" w:history="1">
        <w:r w:rsidR="00D33884">
          <w:rPr>
            <w:rStyle w:val="ac"/>
            <w:rFonts w:hint="eastAsia"/>
            <w:sz w:val="24"/>
            <w:szCs w:val="24"/>
          </w:rPr>
          <w:t>2.3 上海证券交易所挂牌期间特定非公开发行债券转让投资者风险揭示书必备条款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_Toc117606509 \h </w:instrText>
        </w:r>
        <w:r>
          <w:rPr>
            <w:rFonts w:hint="eastAsia"/>
            <w:sz w:val="24"/>
            <w:szCs w:val="24"/>
          </w:rPr>
        </w:r>
        <w:r>
          <w:rPr>
            <w:rFonts w:hint="eastAsia"/>
            <w:sz w:val="24"/>
            <w:szCs w:val="24"/>
          </w:rPr>
          <w:fldChar w:fldCharType="separate"/>
        </w:r>
        <w:r w:rsidR="00D33884">
          <w:rPr>
            <w:rFonts w:hint="eastAsia"/>
            <w:sz w:val="24"/>
            <w:szCs w:val="24"/>
          </w:rPr>
          <w:t>94</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10" w:history="1">
        <w:r w:rsidR="00D33884">
          <w:rPr>
            <w:rStyle w:val="ac"/>
            <w:rFonts w:hint="eastAsia"/>
            <w:sz w:val="24"/>
            <w:szCs w:val="24"/>
          </w:rPr>
          <w:t>2.4 上海证券交易所上市期间特定债券转让投资者风险揭示书必备条款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_Toc117606510 \h </w:instrText>
        </w:r>
        <w:r>
          <w:rPr>
            <w:rFonts w:hint="eastAsia"/>
            <w:sz w:val="24"/>
            <w:szCs w:val="24"/>
          </w:rPr>
        </w:r>
        <w:r>
          <w:rPr>
            <w:rFonts w:hint="eastAsia"/>
            <w:sz w:val="24"/>
            <w:szCs w:val="24"/>
          </w:rPr>
          <w:fldChar w:fldCharType="separate"/>
        </w:r>
        <w:r w:rsidR="00D33884">
          <w:rPr>
            <w:rFonts w:hint="eastAsia"/>
            <w:sz w:val="24"/>
            <w:szCs w:val="24"/>
          </w:rPr>
          <w:t>96</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11" w:history="1">
        <w:r w:rsidR="00D33884">
          <w:rPr>
            <w:rStyle w:val="ac"/>
            <w:rFonts w:hint="eastAsia"/>
            <w:sz w:val="24"/>
            <w:szCs w:val="24"/>
          </w:rPr>
          <w:t>2.5 上海证券交易所债券质押式三方回购交易投资者风险揭示书必备条款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_Toc117606511 \h </w:instrText>
        </w:r>
        <w:r>
          <w:rPr>
            <w:rFonts w:hint="eastAsia"/>
            <w:sz w:val="24"/>
            <w:szCs w:val="24"/>
          </w:rPr>
        </w:r>
        <w:r>
          <w:rPr>
            <w:rFonts w:hint="eastAsia"/>
            <w:sz w:val="24"/>
            <w:szCs w:val="24"/>
          </w:rPr>
          <w:fldChar w:fldCharType="separate"/>
        </w:r>
        <w:r w:rsidR="00D33884">
          <w:rPr>
            <w:rFonts w:hint="eastAsia"/>
            <w:sz w:val="24"/>
            <w:szCs w:val="24"/>
          </w:rPr>
          <w:t>98</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12" w:history="1">
        <w:r w:rsidR="00D33884">
          <w:rPr>
            <w:rStyle w:val="ac"/>
            <w:rFonts w:hint="eastAsia"/>
            <w:sz w:val="24"/>
            <w:szCs w:val="24"/>
          </w:rPr>
          <w:t>2.6 上海证券交易所债券质押式协议回购交易投资者风险揭示书必备条款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_Toc117606512 \h </w:instrText>
        </w:r>
        <w:r>
          <w:rPr>
            <w:rFonts w:hint="eastAsia"/>
            <w:sz w:val="24"/>
            <w:szCs w:val="24"/>
          </w:rPr>
        </w:r>
        <w:r>
          <w:rPr>
            <w:rFonts w:hint="eastAsia"/>
            <w:sz w:val="24"/>
            <w:szCs w:val="24"/>
          </w:rPr>
          <w:fldChar w:fldCharType="separate"/>
        </w:r>
        <w:r w:rsidR="00D33884">
          <w:rPr>
            <w:rFonts w:hint="eastAsia"/>
            <w:sz w:val="24"/>
            <w:szCs w:val="24"/>
          </w:rPr>
          <w:t>101</w:t>
        </w:r>
        <w:r>
          <w:rPr>
            <w:rFonts w:hint="eastAsia"/>
            <w:sz w:val="24"/>
            <w:szCs w:val="24"/>
          </w:rPr>
          <w:fldChar w:fldCharType="end"/>
        </w:r>
      </w:hyperlink>
    </w:p>
    <w:p w:rsidR="00F96FB1" w:rsidRDefault="00FF0931">
      <w:pPr>
        <w:pStyle w:val="10"/>
        <w:spacing w:before="156"/>
        <w:rPr>
          <w:rFonts w:ascii="仿宋_GB2312" w:eastAsia="仿宋_GB2312" w:hAnsiTheme="minorHAnsi" w:cstheme="minorBidi"/>
          <w:b w:val="0"/>
          <w:kern w:val="2"/>
        </w:rPr>
      </w:pPr>
      <w:hyperlink w:anchor="_Toc117606513" w:history="1">
        <w:r w:rsidR="00D33884">
          <w:rPr>
            <w:rStyle w:val="ac"/>
            <w:rFonts w:ascii="仿宋_GB2312" w:eastAsia="仿宋_GB2312" w:hint="eastAsia"/>
          </w:rPr>
          <w:t>III. REITs</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_Toc117606513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104</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514" w:history="1">
        <w:r w:rsidR="00D33884">
          <w:rPr>
            <w:rStyle w:val="ac"/>
            <w:rFonts w:hint="eastAsia"/>
            <w:sz w:val="24"/>
            <w:szCs w:val="24"/>
          </w:rPr>
          <w:t>3.1 上海证券交易所公开募集基础设施证券投资基金（REITs）投资者风险揭示书必备条款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_Toc117606514 \h </w:instrText>
        </w:r>
        <w:r>
          <w:rPr>
            <w:rFonts w:hint="eastAsia"/>
            <w:sz w:val="24"/>
            <w:szCs w:val="24"/>
          </w:rPr>
        </w:r>
        <w:r>
          <w:rPr>
            <w:rFonts w:hint="eastAsia"/>
            <w:sz w:val="24"/>
            <w:szCs w:val="24"/>
          </w:rPr>
          <w:fldChar w:fldCharType="separate"/>
        </w:r>
        <w:r w:rsidR="00D33884">
          <w:rPr>
            <w:rFonts w:hint="eastAsia"/>
            <w:sz w:val="24"/>
            <w:szCs w:val="24"/>
          </w:rPr>
          <w:t>104</w:t>
        </w:r>
        <w:r>
          <w:rPr>
            <w:rFonts w:hint="eastAsia"/>
            <w:sz w:val="24"/>
            <w:szCs w:val="24"/>
          </w:rPr>
          <w:fldChar w:fldCharType="end"/>
        </w:r>
      </w:hyperlink>
    </w:p>
    <w:p w:rsidR="00F96FB1" w:rsidRDefault="00FF0931">
      <w:pPr>
        <w:pStyle w:val="10"/>
        <w:spacing w:before="156"/>
        <w:rPr>
          <w:rFonts w:ascii="仿宋_GB2312" w:eastAsia="仿宋_GB2312" w:hAnsiTheme="minorHAnsi" w:cstheme="minorBidi"/>
          <w:b w:val="0"/>
          <w:kern w:val="2"/>
        </w:rPr>
      </w:pPr>
      <w:hyperlink w:anchor="_Toc117606515" w:history="1">
        <w:r w:rsidR="00D33884">
          <w:rPr>
            <w:rStyle w:val="ac"/>
            <w:rFonts w:ascii="仿宋_GB2312" w:eastAsia="仿宋_GB2312" w:hint="eastAsia"/>
          </w:rPr>
          <w:t>IV. 基金</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_Toc117606515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107</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516" w:history="1">
        <w:r w:rsidR="00D33884">
          <w:rPr>
            <w:rStyle w:val="ac"/>
            <w:rFonts w:hint="eastAsia"/>
            <w:sz w:val="24"/>
            <w:szCs w:val="24"/>
          </w:rPr>
          <w:t>4.1 上海证券交易所黄金交易型开放式证券投资基金申购、赎回业务投资者风险揭示书必备条款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_Toc117606516 \h </w:instrText>
        </w:r>
        <w:r>
          <w:rPr>
            <w:rFonts w:hint="eastAsia"/>
            <w:sz w:val="24"/>
            <w:szCs w:val="24"/>
          </w:rPr>
        </w:r>
        <w:r>
          <w:rPr>
            <w:rFonts w:hint="eastAsia"/>
            <w:sz w:val="24"/>
            <w:szCs w:val="24"/>
          </w:rPr>
          <w:fldChar w:fldCharType="separate"/>
        </w:r>
        <w:r w:rsidR="00D33884">
          <w:rPr>
            <w:rFonts w:hint="eastAsia"/>
            <w:sz w:val="24"/>
            <w:szCs w:val="24"/>
          </w:rPr>
          <w:t>107</w:t>
        </w:r>
        <w:r>
          <w:rPr>
            <w:rFonts w:hint="eastAsia"/>
            <w:sz w:val="24"/>
            <w:szCs w:val="24"/>
          </w:rPr>
          <w:fldChar w:fldCharType="end"/>
        </w:r>
      </w:hyperlink>
    </w:p>
    <w:p w:rsidR="00F96FB1" w:rsidRDefault="00FF0931">
      <w:pPr>
        <w:pStyle w:val="10"/>
        <w:spacing w:before="156"/>
        <w:rPr>
          <w:rFonts w:ascii="仿宋_GB2312" w:eastAsia="仿宋_GB2312" w:hAnsiTheme="minorHAnsi" w:cstheme="minorBidi"/>
          <w:b w:val="0"/>
          <w:kern w:val="2"/>
        </w:rPr>
      </w:pPr>
      <w:hyperlink w:anchor="_Toc117606517" w:history="1">
        <w:r w:rsidR="00D33884">
          <w:rPr>
            <w:rStyle w:val="ac"/>
            <w:rFonts w:ascii="仿宋_GB2312" w:eastAsia="仿宋_GB2312" w:hint="eastAsia"/>
          </w:rPr>
          <w:t>V. 股票期权</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_Toc117606517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110</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518" w:history="1">
        <w:r w:rsidR="00D33884">
          <w:rPr>
            <w:rStyle w:val="ac"/>
            <w:rFonts w:hint="eastAsia"/>
            <w:sz w:val="24"/>
            <w:szCs w:val="24"/>
          </w:rPr>
          <w:t>5.1 上海证券交易所股票期权投资者风险揭示书必备条款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_Toc117606518 \h </w:instrText>
        </w:r>
        <w:r>
          <w:rPr>
            <w:rFonts w:hint="eastAsia"/>
            <w:sz w:val="24"/>
            <w:szCs w:val="24"/>
          </w:rPr>
        </w:r>
        <w:r>
          <w:rPr>
            <w:rFonts w:hint="eastAsia"/>
            <w:sz w:val="24"/>
            <w:szCs w:val="24"/>
          </w:rPr>
          <w:fldChar w:fldCharType="separate"/>
        </w:r>
        <w:r w:rsidR="00D33884">
          <w:rPr>
            <w:rFonts w:hint="eastAsia"/>
            <w:sz w:val="24"/>
            <w:szCs w:val="24"/>
          </w:rPr>
          <w:t>110</w:t>
        </w:r>
        <w:r>
          <w:rPr>
            <w:rFonts w:hint="eastAsia"/>
            <w:sz w:val="24"/>
            <w:szCs w:val="24"/>
          </w:rPr>
          <w:fldChar w:fldCharType="end"/>
        </w:r>
      </w:hyperlink>
    </w:p>
    <w:p w:rsidR="00F96FB1" w:rsidRDefault="00FF0931">
      <w:pPr>
        <w:pStyle w:val="10"/>
        <w:spacing w:before="156"/>
        <w:rPr>
          <w:rFonts w:ascii="仿宋_GB2312" w:eastAsia="仿宋_GB2312" w:hAnsiTheme="minorHAnsi" w:cstheme="minorBidi"/>
          <w:b w:val="0"/>
          <w:kern w:val="2"/>
        </w:rPr>
      </w:pPr>
      <w:hyperlink w:anchor="_Toc117606519" w:history="1">
        <w:r w:rsidR="00D33884">
          <w:rPr>
            <w:rStyle w:val="ac"/>
            <w:rFonts w:ascii="仿宋_GB2312" w:eastAsia="仿宋_GB2312" w:hint="eastAsia"/>
          </w:rPr>
          <w:t>VI. 其他</w:t>
        </w:r>
        <w:r w:rsidR="00D33884">
          <w:rPr>
            <w:rFonts w:ascii="仿宋_GB2312" w:eastAsia="仿宋_GB2312" w:hint="eastAsia"/>
          </w:rPr>
          <w:tab/>
        </w:r>
        <w:r>
          <w:rPr>
            <w:rFonts w:ascii="仿宋_GB2312" w:eastAsia="仿宋_GB2312" w:hint="eastAsia"/>
          </w:rPr>
          <w:fldChar w:fldCharType="begin"/>
        </w:r>
        <w:r w:rsidR="00D33884">
          <w:rPr>
            <w:rFonts w:ascii="仿宋_GB2312" w:eastAsia="仿宋_GB2312" w:hint="eastAsia"/>
          </w:rPr>
          <w:instrText xml:space="preserve"> PAGEREF _Toc117606519 \h </w:instrText>
        </w:r>
        <w:r>
          <w:rPr>
            <w:rFonts w:ascii="仿宋_GB2312" w:eastAsia="仿宋_GB2312" w:hint="eastAsia"/>
          </w:rPr>
        </w:r>
        <w:r>
          <w:rPr>
            <w:rFonts w:ascii="仿宋_GB2312" w:eastAsia="仿宋_GB2312" w:hint="eastAsia"/>
          </w:rPr>
          <w:fldChar w:fldCharType="separate"/>
        </w:r>
        <w:r w:rsidR="00D33884">
          <w:rPr>
            <w:rFonts w:ascii="仿宋_GB2312" w:eastAsia="仿宋_GB2312" w:hint="eastAsia"/>
          </w:rPr>
          <w:t>120</w:t>
        </w:r>
        <w:r>
          <w:rPr>
            <w:rFonts w:ascii="仿宋_GB2312" w:eastAsia="仿宋_GB2312" w:hint="eastAsia"/>
          </w:rPr>
          <w:fldChar w:fldCharType="end"/>
        </w:r>
      </w:hyperlink>
    </w:p>
    <w:p w:rsidR="00F96FB1" w:rsidRDefault="00FF0931">
      <w:pPr>
        <w:pStyle w:val="20"/>
        <w:rPr>
          <w:rFonts w:hAnsiTheme="minorHAnsi" w:cstheme="minorBidi"/>
          <w:kern w:val="2"/>
          <w:sz w:val="24"/>
          <w:szCs w:val="24"/>
        </w:rPr>
      </w:pPr>
      <w:hyperlink w:anchor="_Toc117606520" w:history="1">
        <w:r w:rsidR="00D33884">
          <w:rPr>
            <w:rStyle w:val="ac"/>
            <w:rFonts w:hint="eastAsia"/>
            <w:sz w:val="24"/>
            <w:szCs w:val="24"/>
          </w:rPr>
          <w:t>6.1 上海证券交易所资产管理计划份额转让投资者风险揭示书必备条款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_Toc117606520 \h </w:instrText>
        </w:r>
        <w:r>
          <w:rPr>
            <w:rFonts w:hint="eastAsia"/>
            <w:sz w:val="24"/>
            <w:szCs w:val="24"/>
          </w:rPr>
        </w:r>
        <w:r>
          <w:rPr>
            <w:rFonts w:hint="eastAsia"/>
            <w:sz w:val="24"/>
            <w:szCs w:val="24"/>
          </w:rPr>
          <w:fldChar w:fldCharType="separate"/>
        </w:r>
        <w:r w:rsidR="00D33884">
          <w:rPr>
            <w:rFonts w:hint="eastAsia"/>
            <w:sz w:val="24"/>
            <w:szCs w:val="24"/>
          </w:rPr>
          <w:t>120</w:t>
        </w:r>
        <w:r>
          <w:rPr>
            <w:rFonts w:hint="eastAsia"/>
            <w:sz w:val="24"/>
            <w:szCs w:val="24"/>
          </w:rPr>
          <w:fldChar w:fldCharType="end"/>
        </w:r>
      </w:hyperlink>
    </w:p>
    <w:p w:rsidR="00F96FB1" w:rsidRDefault="00FF0931">
      <w:pPr>
        <w:pStyle w:val="20"/>
        <w:rPr>
          <w:rFonts w:hAnsiTheme="minorHAnsi" w:cstheme="minorBidi"/>
          <w:kern w:val="2"/>
          <w:sz w:val="24"/>
          <w:szCs w:val="24"/>
        </w:rPr>
      </w:pPr>
      <w:hyperlink w:anchor="_Toc117606521" w:history="1">
        <w:r w:rsidR="00D33884">
          <w:rPr>
            <w:rStyle w:val="ac"/>
            <w:rFonts w:hint="eastAsia"/>
            <w:sz w:val="24"/>
            <w:szCs w:val="24"/>
          </w:rPr>
          <w:t>6.2 上海证券交易所信用保护工具投资者风险揭示书必备条款</w:t>
        </w:r>
        <w:r w:rsidR="00D33884">
          <w:rPr>
            <w:rFonts w:hint="eastAsia"/>
            <w:sz w:val="24"/>
            <w:szCs w:val="24"/>
          </w:rPr>
          <w:tab/>
        </w:r>
        <w:r>
          <w:rPr>
            <w:rFonts w:hint="eastAsia"/>
            <w:sz w:val="24"/>
            <w:szCs w:val="24"/>
          </w:rPr>
          <w:fldChar w:fldCharType="begin"/>
        </w:r>
        <w:r w:rsidR="00D33884">
          <w:rPr>
            <w:rFonts w:hint="eastAsia"/>
            <w:sz w:val="24"/>
            <w:szCs w:val="24"/>
          </w:rPr>
          <w:instrText xml:space="preserve"> PAGEREF _Toc117606521 \h </w:instrText>
        </w:r>
        <w:r>
          <w:rPr>
            <w:rFonts w:hint="eastAsia"/>
            <w:sz w:val="24"/>
            <w:szCs w:val="24"/>
          </w:rPr>
        </w:r>
        <w:r>
          <w:rPr>
            <w:rFonts w:hint="eastAsia"/>
            <w:sz w:val="24"/>
            <w:szCs w:val="24"/>
          </w:rPr>
          <w:fldChar w:fldCharType="separate"/>
        </w:r>
        <w:r w:rsidR="00D33884">
          <w:rPr>
            <w:rFonts w:hint="eastAsia"/>
            <w:sz w:val="24"/>
            <w:szCs w:val="24"/>
          </w:rPr>
          <w:t>122</w:t>
        </w:r>
        <w:r>
          <w:rPr>
            <w:rFonts w:hint="eastAsia"/>
            <w:sz w:val="24"/>
            <w:szCs w:val="24"/>
          </w:rPr>
          <w:fldChar w:fldCharType="end"/>
        </w:r>
      </w:hyperlink>
    </w:p>
    <w:p w:rsidR="00F96FB1" w:rsidRDefault="00FF0931">
      <w:pPr>
        <w:spacing w:line="276" w:lineRule="auto"/>
        <w:ind w:left="566" w:hangingChars="235" w:hanging="566"/>
        <w:jc w:val="center"/>
        <w:rPr>
          <w:sz w:val="24"/>
          <w:szCs w:val="24"/>
        </w:rPr>
      </w:pPr>
      <w:r>
        <w:rPr>
          <w:rFonts w:hAnsi="宋体" w:hint="eastAsia"/>
          <w:b/>
          <w:sz w:val="24"/>
          <w:szCs w:val="24"/>
        </w:rPr>
        <w:fldChar w:fldCharType="end"/>
      </w:r>
    </w:p>
    <w:p w:rsidR="00F96FB1" w:rsidRDefault="00F96FB1">
      <w:pPr>
        <w:widowControl/>
        <w:spacing w:beforeAutospacing="1" w:afterAutospacing="1" w:line="240" w:lineRule="auto"/>
        <w:ind w:firstLineChars="0" w:firstLine="0"/>
        <w:jc w:val="left"/>
        <w:rPr>
          <w:sz w:val="24"/>
          <w:szCs w:val="24"/>
        </w:rPr>
        <w:sectPr w:rsidR="00F96FB1">
          <w:pgSz w:w="11906" w:h="16838"/>
          <w:pgMar w:top="1440" w:right="1800" w:bottom="1440" w:left="1800" w:header="851" w:footer="992" w:gutter="0"/>
          <w:cols w:space="720"/>
          <w:docGrid w:type="lines" w:linePitch="312"/>
        </w:sectPr>
      </w:pPr>
    </w:p>
    <w:p w:rsidR="00F96FB1" w:rsidRDefault="00D33884">
      <w:pPr>
        <w:pStyle w:val="1"/>
        <w:ind w:firstLineChars="0" w:firstLine="0"/>
        <w:rPr>
          <w:sz w:val="36"/>
          <w:szCs w:val="36"/>
        </w:rPr>
      </w:pPr>
      <w:bookmarkStart w:id="18" w:name="_Toc117606490"/>
      <w:r>
        <w:rPr>
          <w:sz w:val="36"/>
          <w:szCs w:val="36"/>
        </w:rPr>
        <w:lastRenderedPageBreak/>
        <w:t xml:space="preserve">I. </w:t>
      </w:r>
      <w:r>
        <w:rPr>
          <w:rFonts w:hint="eastAsia"/>
          <w:sz w:val="36"/>
          <w:szCs w:val="36"/>
        </w:rPr>
        <w:t>股票及存托凭证</w:t>
      </w:r>
      <w:bookmarkEnd w:id="18"/>
    </w:p>
    <w:p w:rsidR="00F96FB1" w:rsidRDefault="00F96FB1">
      <w:pPr>
        <w:spacing w:line="360" w:lineRule="auto"/>
        <w:ind w:firstLine="480"/>
        <w:rPr>
          <w:sz w:val="24"/>
          <w:szCs w:val="24"/>
        </w:rPr>
      </w:pPr>
    </w:p>
    <w:p w:rsidR="00F96FB1" w:rsidRDefault="00D33884">
      <w:pPr>
        <w:pStyle w:val="2"/>
      </w:pPr>
      <w:bookmarkStart w:id="19" w:name="_Toc117606491"/>
      <w:r>
        <w:rPr>
          <w:rFonts w:hint="eastAsia"/>
        </w:rPr>
        <w:t>1.1上海证券交易所主板投资风险揭示书</w:t>
      </w:r>
      <w:bookmarkEnd w:id="19"/>
    </w:p>
    <w:p w:rsidR="00F96FB1" w:rsidRDefault="00D33884">
      <w:pPr>
        <w:pStyle w:val="2"/>
      </w:pPr>
      <w:bookmarkStart w:id="20" w:name="_Toc117606492"/>
      <w:bookmarkStart w:id="21" w:name="_Toc117606269"/>
      <w:r>
        <w:rPr>
          <w:rFonts w:hint="eastAsia"/>
        </w:rPr>
        <w:t>必备条款</w:t>
      </w:r>
      <w:bookmarkEnd w:id="20"/>
      <w:bookmarkEnd w:id="21"/>
    </w:p>
    <w:p w:rsidR="00F96FB1" w:rsidRDefault="00D33884">
      <w:pPr>
        <w:spacing w:line="360" w:lineRule="auto"/>
        <w:ind w:firstLine="480"/>
        <w:jc w:val="center"/>
        <w:rPr>
          <w:sz w:val="24"/>
          <w:szCs w:val="24"/>
        </w:rPr>
      </w:pPr>
      <w:r>
        <w:rPr>
          <w:rFonts w:hint="eastAsia"/>
          <w:sz w:val="24"/>
          <w:szCs w:val="24"/>
        </w:rPr>
        <w:t>（2023年2月17日发布）</w:t>
      </w:r>
    </w:p>
    <w:p w:rsidR="00F96FB1" w:rsidRDefault="00F96FB1">
      <w:pPr>
        <w:rPr>
          <w:color w:val="000000"/>
        </w:rPr>
      </w:pPr>
    </w:p>
    <w:p w:rsidR="00F96FB1" w:rsidRDefault="00D33884">
      <w:pPr>
        <w:spacing w:line="560" w:lineRule="exact"/>
        <w:rPr>
          <w:rFonts w:hAnsi="仿宋_GB2312" w:cs="仿宋_GB2312"/>
          <w:color w:val="000000"/>
        </w:rPr>
      </w:pPr>
      <w:r>
        <w:rPr>
          <w:rFonts w:hAnsi="仿宋_GB2312" w:cs="仿宋_GB2312" w:hint="eastAsia"/>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一、全面实行股票发行注册制后，主板股票发行、上市、交易、持续监管等相关制度安排发生一定变化，投资者</w:t>
      </w:r>
      <w:r>
        <w:rPr>
          <w:rFonts w:ascii="仿宋_GB2312" w:eastAsia="仿宋_GB2312" w:hAnsi="仿宋_GB2312" w:cs="仿宋_GB2312" w:hint="eastAsia"/>
          <w:color w:val="000000"/>
          <w:sz w:val="30"/>
          <w:szCs w:val="30"/>
        </w:rPr>
        <w:t xml:space="preserve">应当充分知悉并关注相关规则。 </w:t>
      </w:r>
    </w:p>
    <w:p w:rsidR="00F96FB1" w:rsidRDefault="00D33884">
      <w:pPr>
        <w:numPr>
          <w:ilvl w:val="255"/>
          <w:numId w:val="0"/>
        </w:numPr>
        <w:spacing w:line="560" w:lineRule="exact"/>
        <w:ind w:firstLineChars="200" w:firstLine="600"/>
        <w:rPr>
          <w:rFonts w:hAnsi="仿宋_GB2312" w:cs="仿宋_GB2312"/>
        </w:rPr>
      </w:pPr>
      <w:r>
        <w:rPr>
          <w:rFonts w:hAnsi="仿宋_GB2312" w:cs="仿宋_GB2312" w:hint="eastAsia"/>
        </w:rPr>
        <w:t>二、主板上市公司可能存在有累计未弥补亏损、最近3个会计年度未能连续盈利等情形；已在境外上市的红筹企业、未在境外上市的红筹企业、存在表决权差异安排的企业具有差异化上市标准，投资者应当关注。</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三、</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可能采用直接定价或者询价定价方式。采用询价定价方式的，询价对象除了证券公司等八类专业机构投资者外，还包括符合一定条件的其他法人和组织、个人投资者。</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四、</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采用询价方式的，初步询价结束后，发行人预计发行后总市值不满足其在招股说明书中明确选择</w:t>
      </w:r>
      <w:r>
        <w:rPr>
          <w:rFonts w:ascii="仿宋_GB2312" w:eastAsia="仿宋_GB2312" w:hAnsi="仿宋_GB2312" w:cs="仿宋_GB2312" w:hint="eastAsia"/>
          <w:color w:val="000000"/>
          <w:sz w:val="30"/>
          <w:szCs w:val="30"/>
        </w:rPr>
        <w:lastRenderedPageBreak/>
        <w:t>的市值与财务指标上市标准的，将按规定中止发行。</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五、</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ascii="仿宋_GB2312" w:eastAsia="仿宋_GB2312" w:hAnsi="仿宋_GB2312" w:cs="仿宋_GB2312" w:hint="eastAsia"/>
          <w:sz w:val="30"/>
          <w:szCs w:val="30"/>
        </w:rPr>
        <w:t>。</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七、</w:t>
      </w:r>
      <w:r>
        <w:rPr>
          <w:rFonts w:ascii="仿宋_GB2312" w:eastAsia="仿宋_GB2312" w:hAnsi="仿宋_GB2312" w:cs="仿宋_GB2312" w:hint="eastAsia"/>
          <w:sz w:val="30"/>
          <w:szCs w:val="30"/>
        </w:rPr>
        <w:t>首次公开发行主板股票</w:t>
      </w:r>
      <w:r>
        <w:rPr>
          <w:rFonts w:ascii="仿宋_GB2312" w:eastAsia="仿宋_GB2312" w:hAnsi="仿宋_GB2312" w:cs="仿宋_GB2312" w:hint="eastAsia"/>
          <w:color w:val="000000"/>
          <w:sz w:val="30"/>
          <w:szCs w:val="30"/>
        </w:rPr>
        <w:t>时，发行人和主承销商可以采用超额配售选择权，即存在发行人增发主板股票的可能性。投资者应关注发行公告中披露全额行使超额配售选择权拟发行证券的具体数量。</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w:t>
      </w:r>
      <w:r>
        <w:rPr>
          <w:rFonts w:ascii="仿宋_GB2312" w:eastAsia="仿宋_GB2312" w:hAnsi="仿宋_GB2312" w:cs="仿宋_GB2312" w:hint="eastAsia"/>
          <w:color w:val="000000"/>
          <w:sz w:val="30"/>
          <w:szCs w:val="30"/>
        </w:rPr>
        <w:lastRenderedPageBreak/>
        <w:t>形，而使</w:t>
      </w:r>
      <w:r>
        <w:rPr>
          <w:rFonts w:ascii="仿宋_GB2312" w:eastAsia="仿宋_GB2312" w:hAnsi="仿宋_GB2312" w:cs="仿宋_GB2312" w:hint="eastAsia"/>
          <w:sz w:val="30"/>
          <w:szCs w:val="30"/>
        </w:rPr>
        <w:t>普通投资者的表决权利及对公司日常经营等事务的影响力受到限制。</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十三、投资者应当关注股票集合竞价和连续竞价阶段有效申报价格范围的相关要求，避免影响申报。申报时超过涨跌幅限制价格或者有效申报价格范围的申报为无效申报。</w:t>
      </w:r>
    </w:p>
    <w:p w:rsidR="00F96FB1" w:rsidRDefault="00D33884">
      <w:pPr>
        <w:spacing w:line="560" w:lineRule="exact"/>
        <w:rPr>
          <w:rFonts w:hAnsi="仿宋_GB2312" w:cs="仿宋_GB2312"/>
        </w:rPr>
      </w:pPr>
      <w:r>
        <w:rPr>
          <w:rFonts w:hAnsi="仿宋_GB2312" w:cs="仿宋_GB2312" w:hint="eastAsia"/>
        </w:rPr>
        <w:t>十四、按照《首次公开发行股票注册管理办法》发行的主板股票，上市首日即可作为融资融券标的，投资者应注意相关风险。</w:t>
      </w:r>
    </w:p>
    <w:p w:rsidR="00F96FB1" w:rsidRDefault="00D33884">
      <w:pPr>
        <w:pStyle w:val="af"/>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十五、投资者应当关注主板股票交易可能触发的异常波动和</w:t>
      </w:r>
      <w:r>
        <w:rPr>
          <w:rFonts w:ascii="仿宋_GB2312" w:eastAsia="仿宋_GB2312" w:hAnsi="仿宋_GB2312" w:cs="仿宋_GB2312" w:hint="eastAsia"/>
          <w:sz w:val="30"/>
          <w:szCs w:val="30"/>
        </w:rPr>
        <w:lastRenderedPageBreak/>
        <w:t>严重异常波动情形，知悉严重异常波动情形可能导致停牌核查，审慎参与相关股票交易。</w:t>
      </w:r>
    </w:p>
    <w:p w:rsidR="00F96FB1" w:rsidRDefault="00D33884">
      <w:pPr>
        <w:pStyle w:val="af"/>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十六、符合相关规定的红筹企业可以在主板上市。红筹企业在境外注册，可能采用协议控制架构，在上市标准、信息披露、分红派息、退市标准等方面可能与境内上市公司存在差异。</w:t>
      </w:r>
      <w:r>
        <w:rPr>
          <w:rFonts w:ascii="仿宋_GB2312" w:eastAsia="仿宋_GB2312" w:hAnsi="仿宋_GB2312" w:cs="仿宋_GB2312"/>
          <w:color w:val="000000"/>
          <w:sz w:val="30"/>
          <w:szCs w:val="30"/>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ascii="仿宋_GB2312" w:eastAsia="仿宋_GB2312" w:hAnsi="仿宋_GB2312" w:cs="仿宋_GB2312" w:hint="eastAsia"/>
          <w:color w:val="000000"/>
          <w:sz w:val="30"/>
          <w:szCs w:val="30"/>
        </w:rPr>
        <w:t xml:space="preserve">                                                                                                                                                                                                                                                                                                                                                                                                                                                                                                                                                                                                                                                                                                                                                                                                                                                                                                                                                                                                                                                                                                                                                                                                                                                                                                                                                                                                                                                                                                                                                                                                                                                                                                                                                                                                                                                                                                                                                                                                                                                                                                                                                                         </w:t>
      </w:r>
    </w:p>
    <w:p w:rsidR="00F96FB1" w:rsidRDefault="00D33884">
      <w:pPr>
        <w:pStyle w:val="af"/>
        <w:spacing w:line="56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十七、</w:t>
      </w:r>
      <w:r>
        <w:rPr>
          <w:rFonts w:ascii="仿宋_GB2312" w:eastAsia="仿宋_GB2312" w:hAnsi="仿宋_GB2312" w:cs="仿宋_GB2312" w:hint="eastAsia"/>
          <w:color w:val="000000"/>
          <w:sz w:val="30"/>
          <w:szCs w:val="30"/>
        </w:rPr>
        <w:t>红筹企业可以发行股票或存托凭证并在主板上市。</w:t>
      </w:r>
      <w:r>
        <w:rPr>
          <w:rFonts w:ascii="仿宋_GB2312" w:eastAsia="仿宋_GB2312" w:hAnsi="仿宋_GB2312" w:cs="仿宋_GB2312" w:hint="eastAsia"/>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ascii="仿宋_GB2312" w:eastAsia="仿宋_GB2312" w:hAnsi="仿宋_GB2312" w:cs="仿宋_GB2312" w:hint="eastAsia"/>
          <w:color w:val="000000"/>
          <w:sz w:val="30"/>
          <w:szCs w:val="30"/>
        </w:rPr>
        <w:t>投资者</w:t>
      </w:r>
      <w:r>
        <w:rPr>
          <w:rFonts w:ascii="仿宋_GB2312" w:eastAsia="仿宋_GB2312" w:hAnsi="仿宋_GB2312" w:cs="仿宋_GB2312" w:hint="eastAsia"/>
          <w:sz w:val="30"/>
          <w:szCs w:val="30"/>
        </w:rPr>
        <w:t>应当充分知悉存托协议和相关规则的具体内容，关注交易和持有过程中可能存在的风险。</w:t>
      </w:r>
    </w:p>
    <w:p w:rsidR="00F96FB1" w:rsidRDefault="00D33884" w:rsidP="009C5356">
      <w:pPr>
        <w:spacing w:line="560" w:lineRule="exact"/>
        <w:rPr>
          <w:rFonts w:ascii="宋体" w:eastAsia="宋体" w:hAnsi="宋体"/>
          <w:b/>
          <w:sz w:val="36"/>
          <w:szCs w:val="36"/>
        </w:rPr>
      </w:pPr>
      <w:r>
        <w:rPr>
          <w:rFonts w:hAnsi="仿宋_GB2312" w:cs="仿宋_GB2312" w:hint="eastAsia"/>
        </w:rPr>
        <w:t>十八、主板相关法律、行政法规、部门规章、规范性文件（以下简称法律法规）和交易所业务规则，可能根据市场情况进行修改，或者制定新的法律法规和业务规则，投资者应当及时予以关注和了解。</w:t>
      </w:r>
      <w:r>
        <w:br w:type="page"/>
      </w:r>
    </w:p>
    <w:p w:rsidR="00F96FB1" w:rsidRDefault="00D33884">
      <w:pPr>
        <w:pStyle w:val="2"/>
        <w:rPr>
          <w:sz w:val="36"/>
          <w:szCs w:val="36"/>
        </w:rPr>
      </w:pPr>
      <w:bookmarkStart w:id="22" w:name="_Toc117606493"/>
      <w:r>
        <w:rPr>
          <w:sz w:val="36"/>
          <w:szCs w:val="36"/>
        </w:rPr>
        <w:lastRenderedPageBreak/>
        <w:t>1.</w:t>
      </w:r>
      <w:r>
        <w:rPr>
          <w:rFonts w:hint="eastAsia"/>
          <w:sz w:val="36"/>
          <w:szCs w:val="36"/>
        </w:rPr>
        <w:t>2</w:t>
      </w:r>
      <w:r>
        <w:rPr>
          <w:sz w:val="36"/>
          <w:szCs w:val="36"/>
        </w:rPr>
        <w:t xml:space="preserve"> </w:t>
      </w:r>
      <w:r>
        <w:rPr>
          <w:rFonts w:hint="eastAsia"/>
          <w:sz w:val="36"/>
          <w:szCs w:val="36"/>
        </w:rPr>
        <w:t>上海证券交易所风险警示股票投资者风险揭示书必备条款</w:t>
      </w:r>
      <w:bookmarkEnd w:id="22"/>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sz w:val="24"/>
          <w:szCs w:val="24"/>
        </w:rPr>
      </w:pPr>
    </w:p>
    <w:p w:rsidR="00F96FB1" w:rsidRDefault="00D33884">
      <w:pPr>
        <w:spacing w:line="560" w:lineRule="exact"/>
      </w:pPr>
      <w:r>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rsidR="00F96FB1" w:rsidRDefault="00D33884">
      <w:pPr>
        <w:spacing w:line="560" w:lineRule="exact"/>
      </w:pPr>
      <w:r>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rsidR="00F96FB1" w:rsidRDefault="00D33884">
      <w:pPr>
        <w:spacing w:line="560" w:lineRule="exact"/>
      </w:pPr>
      <w:r>
        <w:rPr>
          <w:rFonts w:hint="eastAsia"/>
        </w:rPr>
        <w:t>二、投资者在参与风险警示股票交易前，应充分了解投资者买卖风险警示股票应当采用限价委托的方式。</w:t>
      </w:r>
    </w:p>
    <w:p w:rsidR="00F96FB1" w:rsidRDefault="00D33884">
      <w:pPr>
        <w:spacing w:line="560" w:lineRule="exact"/>
      </w:pPr>
      <w:r>
        <w:rPr>
          <w:rFonts w:hint="eastAsia"/>
        </w:rPr>
        <w:t>三、投资者在参与风险警示股票交易前，应充分了解风险警示股票价格的涨跌幅限制与其他股票的涨跌幅限制不同。</w:t>
      </w:r>
    </w:p>
    <w:p w:rsidR="00F96FB1" w:rsidRDefault="00D33884">
      <w:pPr>
        <w:spacing w:line="560" w:lineRule="exact"/>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rsidR="00F96FB1" w:rsidRDefault="00D33884">
      <w:pPr>
        <w:spacing w:line="560" w:lineRule="exact"/>
      </w:pPr>
      <w:r>
        <w:rPr>
          <w:rFonts w:hint="eastAsia"/>
        </w:rPr>
        <w:lastRenderedPageBreak/>
        <w:t>五、投资者应当特别关注上市公司发布的风险提示性公告，及时从符合中国证监会规定条件的媒体等渠道获取相关信息。</w:t>
      </w:r>
    </w:p>
    <w:p w:rsidR="00F96FB1" w:rsidRDefault="00D33884">
      <w:pPr>
        <w:spacing w:line="560" w:lineRule="exact"/>
      </w:pPr>
      <w:r>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rsidR="00F96FB1" w:rsidRDefault="00D33884">
      <w:pPr>
        <w:widowControl/>
        <w:spacing w:line="560" w:lineRule="exact"/>
        <w:ind w:firstLineChars="0" w:firstLine="0"/>
        <w:jc w:val="left"/>
        <w:rPr>
          <w:b/>
          <w:sz w:val="24"/>
          <w:szCs w:val="24"/>
        </w:rPr>
      </w:pPr>
      <w:r>
        <w:rPr>
          <w:b/>
          <w:sz w:val="24"/>
          <w:szCs w:val="24"/>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ind w:firstLine="602"/>
        <w:jc w:val="center"/>
        <w:rPr>
          <w:rFonts w:ascii="仿宋_GB2312" w:eastAsia="仿宋_GB2312"/>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上海证券交易所风险警示股票投资者风险揭示书必备条款</w:t>
      </w:r>
      <w:r>
        <w:rPr>
          <w:rFonts w:ascii="仿宋_GB2312" w:eastAsia="仿宋_GB2312" w:cs="Times New Roman" w:hint="eastAsia"/>
          <w:sz w:val="30"/>
          <w:szCs w:val="30"/>
        </w:rPr>
        <w:t>》</w:t>
      </w:r>
      <w:r>
        <w:rPr>
          <w:rFonts w:ascii="仿宋_GB2312" w:eastAsia="仿宋_GB2312" w:cs="Times New Roman" w:hint="eastAsia"/>
          <w:b/>
          <w:sz w:val="30"/>
          <w:szCs w:val="30"/>
        </w:rPr>
        <w:t>历次修订</w:t>
      </w:r>
    </w:p>
    <w:p w:rsidR="00F96FB1" w:rsidRDefault="00D33884">
      <w:pPr>
        <w:pStyle w:val="af"/>
        <w:widowControl/>
        <w:numPr>
          <w:ilvl w:val="0"/>
          <w:numId w:val="1"/>
        </w:numPr>
        <w:spacing w:line="560" w:lineRule="exact"/>
        <w:ind w:firstLineChars="0"/>
        <w:rPr>
          <w:rFonts w:ascii="仿宋_GB2312" w:eastAsia="仿宋_GB2312" w:hAnsi="仿宋" w:cs="Times New Roman"/>
          <w:bCs/>
          <w:sz w:val="30"/>
          <w:szCs w:val="30"/>
        </w:rPr>
      </w:pP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Default="00D33884">
      <w:pPr>
        <w:pStyle w:val="af"/>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1.1</w:t>
      </w:r>
      <w:r>
        <w:rPr>
          <w:rFonts w:ascii="仿宋_GB2312" w:eastAsia="仿宋_GB2312" w:hAnsi="仿宋" w:cs="Times New Roman" w:hint="eastAsia"/>
          <w:b/>
          <w:bCs/>
          <w:sz w:val="30"/>
          <w:szCs w:val="30"/>
        </w:rPr>
        <w:t>删除</w:t>
      </w:r>
      <w:r>
        <w:rPr>
          <w:rFonts w:ascii="仿宋_GB2312" w:eastAsia="仿宋_GB2312" w:hAnsi="仿宋" w:cs="Times New Roman" w:hint="eastAsia"/>
          <w:bCs/>
          <w:sz w:val="30"/>
          <w:szCs w:val="30"/>
        </w:rPr>
        <w:t>原第四条，其后条款依次顺延：</w:t>
      </w:r>
    </w:p>
    <w:p w:rsidR="00F96FB1" w:rsidRDefault="00D33884">
      <w:pPr>
        <w:spacing w:line="560" w:lineRule="exact"/>
      </w:pPr>
      <w:r>
        <w:rPr>
          <w:rFonts w:hint="eastAsia"/>
        </w:rPr>
        <w:t>四、风险警示股票盘中换手率达到或超过一定比例的，属于异常波动，交易所可以根据市场需要，对其实施盘中临时停牌。</w:t>
      </w:r>
    </w:p>
    <w:p w:rsidR="00F96FB1" w:rsidRDefault="00D33884">
      <w:pPr>
        <w:pStyle w:val="af"/>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1.2</w:t>
      </w:r>
      <w:r>
        <w:rPr>
          <w:rFonts w:ascii="仿宋_GB2312" w:eastAsia="仿宋_GB2312" w:hAnsi="仿宋" w:cs="Times New Roman" w:hint="eastAsia"/>
          <w:b/>
          <w:bCs/>
          <w:sz w:val="30"/>
          <w:szCs w:val="30"/>
        </w:rPr>
        <w:t>修改</w:t>
      </w:r>
      <w:r w:rsidR="005D4CB4">
        <w:rPr>
          <w:rFonts w:ascii="仿宋_GB2312" w:eastAsia="仿宋_GB2312" w:hAnsi="仿宋" w:cs="Times New Roman" w:hint="eastAsia"/>
          <w:bCs/>
          <w:sz w:val="30"/>
          <w:szCs w:val="30"/>
        </w:rPr>
        <w:t>现第四条</w:t>
      </w:r>
      <w:r>
        <w:rPr>
          <w:rFonts w:ascii="仿宋_GB2312" w:eastAsia="仿宋_GB2312" w:hAnsi="仿宋" w:cs="Times New Roman" w:hint="eastAsia"/>
          <w:bCs/>
          <w:sz w:val="30"/>
          <w:szCs w:val="30"/>
        </w:rPr>
        <w:t>（</w:t>
      </w:r>
      <w:r w:rsidR="005D4CB4">
        <w:rPr>
          <w:rFonts w:ascii="仿宋_GB2312" w:eastAsia="仿宋_GB2312" w:hAnsi="仿宋" w:cs="Times New Roman" w:hint="eastAsia"/>
          <w:bCs/>
          <w:sz w:val="30"/>
          <w:szCs w:val="30"/>
        </w:rPr>
        <w:t>原第五条</w:t>
      </w:r>
      <w:r>
        <w:rPr>
          <w:rFonts w:ascii="仿宋_GB2312" w:eastAsia="仿宋_GB2312" w:hAnsi="仿宋" w:cs="Times New Roman" w:hint="eastAsia"/>
          <w:bCs/>
          <w:sz w:val="30"/>
          <w:szCs w:val="30"/>
        </w:rPr>
        <w:t>）：</w:t>
      </w:r>
    </w:p>
    <w:p w:rsidR="00F96FB1" w:rsidRDefault="005D4CB4">
      <w:pPr>
        <w:spacing w:line="560" w:lineRule="exact"/>
        <w:rPr>
          <w:b/>
        </w:rPr>
      </w:pPr>
      <w:r>
        <w:rPr>
          <w:rFonts w:hint="eastAsia"/>
        </w:rPr>
        <w:t>四、</w:t>
      </w:r>
      <w:r w:rsidR="00D33884">
        <w:rPr>
          <w:rFonts w:hint="eastAsia"/>
        </w:rPr>
        <w:t>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sidR="00D33884">
        <w:rPr>
          <w:rFonts w:hint="eastAsia"/>
          <w:b/>
        </w:rPr>
        <w:t>上市公司回购股份、5%以上股东根据已披露的增持计划增持股份可不受前述50万股买入限制。</w:t>
      </w:r>
    </w:p>
    <w:p w:rsidR="00F96FB1" w:rsidRDefault="00F96FB1">
      <w:pPr>
        <w:spacing w:line="360" w:lineRule="auto"/>
      </w:pP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23" w:name="_Toc117606494"/>
      <w:r>
        <w:rPr>
          <w:sz w:val="36"/>
          <w:szCs w:val="36"/>
        </w:rPr>
        <w:lastRenderedPageBreak/>
        <w:t>1.</w:t>
      </w:r>
      <w:r>
        <w:rPr>
          <w:rFonts w:hint="eastAsia"/>
          <w:sz w:val="36"/>
          <w:szCs w:val="36"/>
        </w:rPr>
        <w:t>3</w:t>
      </w:r>
      <w:r>
        <w:rPr>
          <w:sz w:val="36"/>
          <w:szCs w:val="36"/>
        </w:rPr>
        <w:t xml:space="preserve"> </w:t>
      </w:r>
      <w:r>
        <w:rPr>
          <w:rFonts w:hint="eastAsia"/>
          <w:sz w:val="36"/>
          <w:szCs w:val="36"/>
        </w:rPr>
        <w:t>上海证券交易所退市整理股票投资者风险揭示书必备条款</w:t>
      </w:r>
      <w:bookmarkEnd w:id="23"/>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sz w:val="24"/>
          <w:szCs w:val="24"/>
        </w:rPr>
      </w:pP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sidR="0057776F">
        <w:rPr>
          <w:rFonts w:ascii="仿宋_GB2312" w:eastAsia="仿宋_GB2312" w:hAnsi="Times New Roman" w:hint="eastAsia"/>
          <w:szCs w:val="30"/>
        </w:rPr>
        <w:t>摘牌</w:t>
      </w:r>
      <w:r>
        <w:rPr>
          <w:rFonts w:ascii="仿宋_GB2312" w:eastAsia="仿宋_GB2312" w:hAnsi="Times New Roman" w:hint="eastAsia"/>
          <w:szCs w:val="30"/>
        </w:rPr>
        <w:t>，风险相对较大。</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二、进入退市整理期的股票，在风险警示板的交易期限为15个交易日，退市整理期交易首日无价格涨跌幅限制。</w:t>
      </w:r>
    </w:p>
    <w:p w:rsidR="00F96FB1" w:rsidRDefault="00D33884">
      <w:pPr>
        <w:pStyle w:val="a5"/>
        <w:spacing w:line="560" w:lineRule="exact"/>
        <w:rPr>
          <w:rFonts w:ascii="仿宋_GB2312" w:eastAsia="仿宋_GB2312" w:hAnsi="Times New Roman"/>
          <w:szCs w:val="30"/>
        </w:rPr>
      </w:pPr>
      <w:r>
        <w:rPr>
          <w:rFonts w:ascii="仿宋_GB2312" w:eastAsia="仿宋_GB2312" w:hAnsi="仿宋" w:cs="Arial" w:hint="eastAsia"/>
          <w:color w:val="000000"/>
          <w:szCs w:val="30"/>
        </w:rPr>
        <w:t>三、证券交易所于退市整理交易期限届满后</w:t>
      </w:r>
      <w:r>
        <w:rPr>
          <w:rFonts w:ascii="仿宋_GB2312" w:eastAsia="仿宋_GB2312" w:hAnsi="仿宋" w:cs="Arial"/>
          <w:color w:val="000000"/>
          <w:szCs w:val="30"/>
        </w:rPr>
        <w:t>5个交易日内对退市整理股票予</w:t>
      </w:r>
      <w:r>
        <w:rPr>
          <w:rFonts w:ascii="仿宋_GB2312" w:eastAsia="仿宋_GB2312" w:hAnsi="仿宋" w:cs="Arial" w:hint="eastAsia"/>
          <w:color w:val="000000"/>
          <w:szCs w:val="30"/>
        </w:rPr>
        <w:t>以摘牌，公司股票终止上市</w:t>
      </w:r>
      <w:r>
        <w:rPr>
          <w:rFonts w:ascii="仿宋_GB2312" w:eastAsia="仿宋_GB2312" w:hAnsi="Times New Roman" w:hint="eastAsia"/>
          <w:szCs w:val="30"/>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四、投资者在参与退市整理股票交易前，应充分了解投资者</w:t>
      </w:r>
      <w:r>
        <w:rPr>
          <w:rFonts w:ascii="仿宋_GB2312" w:eastAsia="仿宋_GB2312" w:hAnsi="Times New Roman" w:hint="eastAsia"/>
          <w:szCs w:val="30"/>
        </w:rPr>
        <w:lastRenderedPageBreak/>
        <w:t>买卖退市整理股票应当采用限价委托的方式，退市整理期交易首日连续竞价阶段的限价申报应当符合相关要求。</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五、退市整理股票的交易可能存在流动性风险，投资者买入后可能因无法在股票</w:t>
      </w:r>
      <w:r w:rsidR="00DD6965">
        <w:rPr>
          <w:rFonts w:ascii="仿宋_GB2312" w:eastAsia="仿宋_GB2312" w:hAnsi="Times New Roman" w:hint="eastAsia"/>
          <w:szCs w:val="30"/>
        </w:rPr>
        <w:t>摘牌</w:t>
      </w:r>
      <w:r>
        <w:rPr>
          <w:rFonts w:ascii="仿宋_GB2312" w:eastAsia="仿宋_GB2312" w:hAnsi="Times New Roman" w:hint="eastAsia"/>
          <w:szCs w:val="30"/>
        </w:rPr>
        <w:t>前及时卖出所持股票而导致损失。</w:t>
      </w:r>
    </w:p>
    <w:p w:rsidR="00F96FB1" w:rsidRDefault="00D33884">
      <w:pPr>
        <w:pStyle w:val="a5"/>
        <w:spacing w:line="560" w:lineRule="exact"/>
        <w:rPr>
          <w:rFonts w:ascii="仿宋_GB2312" w:eastAsia="仿宋_GB2312" w:hAnsi="仿宋" w:cs="Arial"/>
          <w:color w:val="000000"/>
          <w:szCs w:val="30"/>
        </w:rPr>
      </w:pPr>
      <w:r>
        <w:rPr>
          <w:rFonts w:ascii="仿宋_GB2312" w:eastAsia="仿宋_GB2312" w:hAnsi="Times New Roman" w:hint="eastAsia"/>
          <w:szCs w:val="30"/>
        </w:rPr>
        <w:t>六、退市整理股票交易实行投资者适当性管理制度。</w:t>
      </w:r>
      <w:r>
        <w:rPr>
          <w:rFonts w:ascii="仿宋_GB2312" w:eastAsia="仿宋_GB2312" w:hAnsi="仿宋" w:cs="Arial" w:hint="eastAsia"/>
          <w:color w:val="000000"/>
          <w:szCs w:val="30"/>
        </w:rPr>
        <w:t>个人投资者买入退市整理股票的，应当具备</w:t>
      </w:r>
      <w:r>
        <w:rPr>
          <w:rFonts w:ascii="仿宋_GB2312" w:eastAsia="仿宋_GB2312" w:hAnsi="仿宋"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七、按照现行有关规定，虽然上市公司股票被终止上市后可以向证券交易所申请重新上市，但须达到交易所规定的重新上市条件，能否重新上市存在较大的不确定性。</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八、投资者应当特别关注公司</w:t>
      </w:r>
      <w:r w:rsidR="00DD6965">
        <w:rPr>
          <w:rFonts w:ascii="仿宋_GB2312" w:eastAsia="仿宋_GB2312" w:hAnsi="Times New Roman" w:hint="eastAsia"/>
          <w:szCs w:val="30"/>
        </w:rPr>
        <w:t>在</w:t>
      </w:r>
      <w:r>
        <w:rPr>
          <w:rFonts w:ascii="仿宋_GB2312" w:eastAsia="仿宋_GB2312" w:hAnsi="Times New Roman" w:hint="eastAsia"/>
          <w:szCs w:val="30"/>
        </w:rPr>
        <w:t>退市整理期期间发布的风险提示性公告，及时从符合中国证监会规定条件的媒体等渠道获取相关信息。</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九、退市整理股票相关法律、行政法规、部门规章、规范性文件（以下简称法律法规）、证券交易所和登记结算机构业务规则可能根据市场情况进行制定、废止和修改，投资者应当及时予以关注和了解。</w:t>
      </w:r>
    </w:p>
    <w:p w:rsidR="00F96FB1" w:rsidRDefault="00D33884">
      <w:pPr>
        <w:widowControl/>
        <w:spacing w:line="240" w:lineRule="auto"/>
        <w:ind w:firstLineChars="0" w:firstLine="0"/>
        <w:jc w:val="left"/>
        <w:rPr>
          <w:b/>
          <w:sz w:val="24"/>
          <w:szCs w:val="24"/>
        </w:rPr>
      </w:pPr>
      <w:r>
        <w:rPr>
          <w:b/>
          <w:sz w:val="24"/>
          <w:szCs w:val="24"/>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ind w:firstLine="602"/>
        <w:jc w:val="center"/>
        <w:rPr>
          <w:rFonts w:ascii="仿宋_GB2312" w:eastAsia="仿宋_GB2312" w:hAnsi="仿宋"/>
          <w:b/>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上海证券交易所退市整理股票投资者风险揭示书必备条款</w:t>
      </w:r>
      <w:r>
        <w:rPr>
          <w:rFonts w:ascii="仿宋_GB2312" w:eastAsia="仿宋_GB2312" w:hAnsi="仿宋" w:cs="Times New Roman" w:hint="eastAsia"/>
          <w:b/>
          <w:sz w:val="30"/>
          <w:szCs w:val="30"/>
        </w:rPr>
        <w:t>》历次修订</w:t>
      </w:r>
    </w:p>
    <w:p w:rsidR="00F96FB1" w:rsidRDefault="00D33884">
      <w:pPr>
        <w:widowControl/>
        <w:spacing w:line="560" w:lineRule="exact"/>
        <w:ind w:firstLineChars="50" w:firstLine="150"/>
        <w:rPr>
          <w:rFonts w:hAnsi="仿宋"/>
          <w:bCs/>
        </w:rPr>
      </w:pPr>
      <w:r>
        <w:rPr>
          <w:rFonts w:hAnsi="仿宋" w:hint="eastAsia"/>
          <w:bCs/>
        </w:rPr>
        <w:t>1.</w:t>
      </w:r>
      <w:r>
        <w:rPr>
          <w:rFonts w:hAnsi="仿宋"/>
          <w:bCs/>
        </w:rPr>
        <w:t>202</w:t>
      </w:r>
      <w:r>
        <w:rPr>
          <w:rFonts w:hAnsi="仿宋" w:hint="eastAsia"/>
          <w:bCs/>
        </w:rPr>
        <w:t>3年2月17日</w:t>
      </w:r>
    </w:p>
    <w:p w:rsidR="0057776F" w:rsidRDefault="0057776F" w:rsidP="0057776F">
      <w:pPr>
        <w:spacing w:line="560" w:lineRule="exact"/>
        <w:ind w:firstLineChars="50" w:firstLine="150"/>
        <w:rPr>
          <w:rFonts w:hAnsi="仿宋"/>
          <w:bCs/>
        </w:rPr>
      </w:pPr>
      <w:r>
        <w:rPr>
          <w:rFonts w:hAnsi="仿宋" w:hint="eastAsia"/>
          <w:bCs/>
        </w:rPr>
        <w:t>1.1</w:t>
      </w:r>
      <w:r>
        <w:rPr>
          <w:rFonts w:hAnsi="仿宋" w:hint="eastAsia"/>
          <w:b/>
          <w:bCs/>
        </w:rPr>
        <w:t>修改</w:t>
      </w:r>
      <w:r>
        <w:rPr>
          <w:rFonts w:hAnsi="仿宋" w:hint="eastAsia"/>
          <w:bCs/>
        </w:rPr>
        <w:t>第一条：</w:t>
      </w:r>
    </w:p>
    <w:p w:rsidR="0057776F" w:rsidRDefault="0057776F" w:rsidP="0057776F">
      <w:pPr>
        <w:pStyle w:val="a5"/>
        <w:spacing w:line="560" w:lineRule="exact"/>
        <w:rPr>
          <w:rFonts w:ascii="仿宋_GB2312" w:eastAsia="仿宋_GB2312" w:hAnsi="Times New Roman"/>
          <w:szCs w:val="30"/>
        </w:rPr>
      </w:pPr>
      <w:r>
        <w:rPr>
          <w:rFonts w:ascii="仿宋_GB2312" w:eastAsia="仿宋_GB2312" w:hAnsi="Times New Roman" w:hint="eastAsia"/>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sidRPr="0057776F">
        <w:rPr>
          <w:rFonts w:ascii="仿宋_GB2312" w:eastAsia="仿宋_GB2312" w:hAnsi="Times New Roman" w:hint="eastAsia"/>
          <w:strike/>
          <w:szCs w:val="30"/>
        </w:rPr>
        <w:t>终止上市</w:t>
      </w:r>
      <w:r w:rsidRPr="0057776F">
        <w:rPr>
          <w:rFonts w:ascii="仿宋_GB2312" w:eastAsia="仿宋_GB2312" w:hAnsi="Times New Roman" w:hint="eastAsia"/>
          <w:b/>
          <w:szCs w:val="30"/>
        </w:rPr>
        <w:t>摘牌</w:t>
      </w:r>
      <w:r>
        <w:rPr>
          <w:rFonts w:ascii="仿宋_GB2312" w:eastAsia="仿宋_GB2312" w:hAnsi="Times New Roman" w:hint="eastAsia"/>
          <w:szCs w:val="30"/>
        </w:rPr>
        <w:t>，风险相对较大。</w:t>
      </w:r>
    </w:p>
    <w:p w:rsidR="00F96FB1" w:rsidRDefault="00D33884">
      <w:pPr>
        <w:spacing w:line="560" w:lineRule="exact"/>
        <w:ind w:firstLineChars="50" w:firstLine="150"/>
        <w:rPr>
          <w:rFonts w:hAnsi="仿宋"/>
          <w:bCs/>
        </w:rPr>
      </w:pPr>
      <w:r>
        <w:rPr>
          <w:rFonts w:hAnsi="仿宋" w:hint="eastAsia"/>
          <w:bCs/>
        </w:rPr>
        <w:t>1.</w:t>
      </w:r>
      <w:r w:rsidR="0057776F">
        <w:rPr>
          <w:rFonts w:hAnsi="仿宋" w:hint="eastAsia"/>
          <w:bCs/>
        </w:rPr>
        <w:t>2</w:t>
      </w:r>
      <w:r>
        <w:rPr>
          <w:rFonts w:hAnsi="仿宋" w:hint="eastAsia"/>
          <w:b/>
          <w:bCs/>
        </w:rPr>
        <w:t>修改</w:t>
      </w:r>
      <w:r>
        <w:rPr>
          <w:rFonts w:hAnsi="仿宋" w:hint="eastAsia"/>
          <w:bCs/>
        </w:rPr>
        <w:t>第二条：</w:t>
      </w:r>
    </w:p>
    <w:p w:rsidR="00F96FB1" w:rsidRDefault="00523B6A">
      <w:pPr>
        <w:pStyle w:val="a5"/>
        <w:spacing w:line="560" w:lineRule="exact"/>
        <w:rPr>
          <w:rFonts w:ascii="仿宋_GB2312" w:eastAsia="仿宋_GB2312" w:hAnsi="Times New Roman"/>
          <w:strike/>
          <w:szCs w:val="30"/>
        </w:rPr>
      </w:pPr>
      <w:r w:rsidRPr="00005054">
        <w:rPr>
          <w:rFonts w:ascii="仿宋_GB2312" w:eastAsia="仿宋_GB2312" w:hAnsi="Times New Roman" w:hint="eastAsia"/>
          <w:szCs w:val="30"/>
        </w:rPr>
        <w:t>二、</w:t>
      </w:r>
      <w:r w:rsidR="00D33884">
        <w:rPr>
          <w:rFonts w:ascii="仿宋_GB2312" w:eastAsia="仿宋_GB2312" w:hAnsi="Times New Roman" w:hint="eastAsia"/>
          <w:strike/>
          <w:szCs w:val="30"/>
        </w:rPr>
        <w:t>2020年12月发布的退市新规设置了过渡期。按照原退市规则进入退市整理期的股票，交易机制和相关安排仍适用原退市规则的规定，与退市新规中退市整理股票的交易机制及相关安排存在较大差异。</w:t>
      </w:r>
    </w:p>
    <w:p w:rsidR="00F96FB1" w:rsidRDefault="00D33884">
      <w:pPr>
        <w:pStyle w:val="a5"/>
        <w:spacing w:line="560" w:lineRule="exact"/>
        <w:rPr>
          <w:rFonts w:ascii="仿宋_GB2312" w:eastAsia="仿宋_GB2312" w:hAnsi="Times New Roman"/>
          <w:strike/>
          <w:szCs w:val="30"/>
        </w:rPr>
      </w:pPr>
      <w:r>
        <w:rPr>
          <w:rFonts w:ascii="仿宋_GB2312" w:eastAsia="仿宋_GB2312" w:hAnsi="Times New Roman" w:hint="eastAsia"/>
          <w:strike/>
          <w:szCs w:val="30"/>
        </w:rPr>
        <w:t>按照退市新规</w:t>
      </w:r>
      <w:r>
        <w:rPr>
          <w:rFonts w:ascii="仿宋_GB2312" w:eastAsia="仿宋_GB2312" w:hAnsi="Times New Roman" w:hint="eastAsia"/>
          <w:szCs w:val="30"/>
        </w:rPr>
        <w:t>进入退市整理期的股票，在风险警示板的交易期限为15个交易日，退市整理期交易首日无价格涨跌幅限制。</w:t>
      </w:r>
      <w:r>
        <w:rPr>
          <w:rFonts w:ascii="仿宋_GB2312" w:eastAsia="仿宋_GB2312" w:hAnsi="Times New Roman" w:hint="eastAsia"/>
          <w:strike/>
          <w:szCs w:val="30"/>
        </w:rPr>
        <w:t>请投资者务必注意区分交易的退市整理股票所适用的不同退市规则。</w:t>
      </w:r>
    </w:p>
    <w:p w:rsidR="0057776F" w:rsidRDefault="0057776F" w:rsidP="0057776F">
      <w:pPr>
        <w:spacing w:line="560" w:lineRule="exact"/>
        <w:ind w:firstLineChars="50" w:firstLine="150"/>
        <w:rPr>
          <w:rFonts w:hAnsi="仿宋"/>
          <w:bCs/>
        </w:rPr>
      </w:pPr>
      <w:r>
        <w:rPr>
          <w:rFonts w:hAnsi="仿宋" w:hint="eastAsia"/>
          <w:bCs/>
        </w:rPr>
        <w:t>1.3</w:t>
      </w:r>
      <w:r>
        <w:rPr>
          <w:rFonts w:hAnsi="仿宋" w:hint="eastAsia"/>
          <w:b/>
          <w:bCs/>
        </w:rPr>
        <w:t>修改</w:t>
      </w:r>
      <w:r>
        <w:rPr>
          <w:rFonts w:hAnsi="仿宋" w:hint="eastAsia"/>
          <w:bCs/>
        </w:rPr>
        <w:t>第五条：</w:t>
      </w:r>
    </w:p>
    <w:p w:rsidR="0057776F" w:rsidRDefault="0057776F" w:rsidP="0057776F">
      <w:pPr>
        <w:pStyle w:val="a5"/>
        <w:spacing w:line="560" w:lineRule="exact"/>
        <w:rPr>
          <w:rFonts w:ascii="仿宋_GB2312" w:eastAsia="仿宋_GB2312" w:hAnsi="Times New Roman"/>
          <w:szCs w:val="30"/>
        </w:rPr>
      </w:pPr>
      <w:r>
        <w:rPr>
          <w:rFonts w:ascii="仿宋_GB2312" w:eastAsia="仿宋_GB2312" w:hAnsi="Times New Roman" w:hint="eastAsia"/>
          <w:szCs w:val="30"/>
        </w:rPr>
        <w:t>五、退市整理股票的交易可能存在流动性风险，投资者买入后可能因无法在股票</w:t>
      </w:r>
      <w:r w:rsidRPr="0057776F">
        <w:rPr>
          <w:rFonts w:ascii="仿宋_GB2312" w:eastAsia="仿宋_GB2312" w:hAnsi="Times New Roman" w:hint="eastAsia"/>
          <w:strike/>
          <w:szCs w:val="30"/>
        </w:rPr>
        <w:t>终止上市</w:t>
      </w:r>
      <w:r w:rsidRPr="0057776F">
        <w:rPr>
          <w:rFonts w:ascii="仿宋_GB2312" w:eastAsia="仿宋_GB2312" w:hAnsi="Times New Roman" w:hint="eastAsia"/>
          <w:b/>
          <w:szCs w:val="30"/>
        </w:rPr>
        <w:t>摘牌</w:t>
      </w:r>
      <w:r>
        <w:rPr>
          <w:rFonts w:ascii="仿宋_GB2312" w:eastAsia="仿宋_GB2312" w:hAnsi="Times New Roman" w:hint="eastAsia"/>
          <w:szCs w:val="30"/>
        </w:rPr>
        <w:t>前及时卖出所持股票而导致损失。</w:t>
      </w:r>
    </w:p>
    <w:p w:rsidR="00F96FB1" w:rsidRDefault="00D33884">
      <w:pPr>
        <w:spacing w:line="560" w:lineRule="exact"/>
        <w:ind w:firstLineChars="50" w:firstLine="150"/>
        <w:rPr>
          <w:rFonts w:hAnsi="仿宋"/>
          <w:bCs/>
        </w:rPr>
      </w:pPr>
      <w:r>
        <w:rPr>
          <w:rFonts w:hAnsi="仿宋" w:hint="eastAsia"/>
          <w:bCs/>
        </w:rPr>
        <w:lastRenderedPageBreak/>
        <w:t>1.</w:t>
      </w:r>
      <w:r w:rsidR="00DD6965">
        <w:rPr>
          <w:rFonts w:hAnsi="仿宋" w:hint="eastAsia"/>
          <w:bCs/>
        </w:rPr>
        <w:t>4</w:t>
      </w:r>
      <w:r>
        <w:rPr>
          <w:rFonts w:hAnsi="仿宋" w:hint="eastAsia"/>
          <w:b/>
          <w:bCs/>
        </w:rPr>
        <w:t>修改</w:t>
      </w:r>
      <w:r>
        <w:rPr>
          <w:rFonts w:hAnsi="仿宋" w:hint="eastAsia"/>
          <w:bCs/>
        </w:rPr>
        <w:t>第七条：</w:t>
      </w:r>
    </w:p>
    <w:p w:rsidR="00F96FB1" w:rsidRDefault="00D33884">
      <w:pPr>
        <w:pStyle w:val="a5"/>
        <w:spacing w:line="560" w:lineRule="exact"/>
        <w:rPr>
          <w:rFonts w:ascii="仿宋_GB2312" w:eastAsia="仿宋_GB2312" w:hAnsi="Times New Roman"/>
          <w:szCs w:val="30"/>
        </w:rPr>
      </w:pPr>
      <w:r>
        <w:rPr>
          <w:rFonts w:ascii="仿宋_GB2312" w:eastAsia="仿宋_GB2312" w:hAnsi="Times New Roman" w:hint="eastAsia"/>
          <w:szCs w:val="30"/>
        </w:rPr>
        <w:t>七、按照现行有关规定，虽然上市公司股票被终止上市后可以向证券交易所申请重新上市，但须达到交易所</w:t>
      </w:r>
      <w:r>
        <w:rPr>
          <w:rFonts w:ascii="仿宋_GB2312" w:eastAsia="仿宋_GB2312" w:hAnsi="Times New Roman" w:hint="eastAsia"/>
          <w:b/>
          <w:szCs w:val="30"/>
        </w:rPr>
        <w:t>规定的</w:t>
      </w:r>
      <w:r>
        <w:rPr>
          <w:rFonts w:ascii="仿宋_GB2312" w:eastAsia="仿宋_GB2312" w:hAnsi="Times New Roman" w:hint="eastAsia"/>
          <w:szCs w:val="30"/>
        </w:rPr>
        <w:t>重新上市条件，能否重新上市存在较大的不确定性。</w:t>
      </w:r>
    </w:p>
    <w:p w:rsidR="00DD6965" w:rsidRPr="00DD6965" w:rsidRDefault="00DD6965" w:rsidP="00DD6965">
      <w:pPr>
        <w:spacing w:line="560" w:lineRule="exact"/>
        <w:ind w:firstLineChars="50" w:firstLine="150"/>
        <w:rPr>
          <w:rFonts w:hAnsi="仿宋"/>
          <w:bCs/>
        </w:rPr>
      </w:pPr>
      <w:r>
        <w:rPr>
          <w:rFonts w:hAnsi="仿宋" w:hint="eastAsia"/>
          <w:bCs/>
        </w:rPr>
        <w:t>1.5</w:t>
      </w:r>
      <w:r>
        <w:rPr>
          <w:rFonts w:hAnsi="仿宋" w:hint="eastAsia"/>
          <w:b/>
          <w:bCs/>
        </w:rPr>
        <w:t>修改</w:t>
      </w:r>
      <w:r>
        <w:rPr>
          <w:rFonts w:hAnsi="仿宋" w:hint="eastAsia"/>
          <w:bCs/>
        </w:rPr>
        <w:t>第八条：</w:t>
      </w:r>
    </w:p>
    <w:p w:rsidR="00DD6965" w:rsidRDefault="00DD6965" w:rsidP="00DD6965">
      <w:pPr>
        <w:pStyle w:val="a5"/>
        <w:spacing w:line="560" w:lineRule="exact"/>
        <w:rPr>
          <w:rFonts w:ascii="仿宋_GB2312" w:eastAsia="仿宋_GB2312" w:hAnsi="Times New Roman"/>
          <w:szCs w:val="30"/>
        </w:rPr>
      </w:pPr>
      <w:r>
        <w:rPr>
          <w:rFonts w:ascii="仿宋_GB2312" w:eastAsia="仿宋_GB2312" w:hAnsi="Times New Roman" w:hint="eastAsia"/>
          <w:szCs w:val="30"/>
        </w:rPr>
        <w:t>八、投资者应当特别关注</w:t>
      </w:r>
      <w:r w:rsidRPr="00DD6965">
        <w:rPr>
          <w:rFonts w:ascii="仿宋_GB2312" w:eastAsia="仿宋_GB2312" w:hAnsi="Times New Roman" w:hint="eastAsia"/>
          <w:strike/>
          <w:szCs w:val="30"/>
        </w:rPr>
        <w:t>拟终止上市</w:t>
      </w:r>
      <w:r>
        <w:rPr>
          <w:rFonts w:ascii="仿宋_GB2312" w:eastAsia="仿宋_GB2312" w:hAnsi="Times New Roman" w:hint="eastAsia"/>
          <w:szCs w:val="30"/>
        </w:rPr>
        <w:t>公司</w:t>
      </w:r>
      <w:r w:rsidRPr="00DD6965">
        <w:rPr>
          <w:rFonts w:ascii="仿宋_GB2312" w:eastAsia="仿宋_GB2312" w:hAnsi="Times New Roman" w:hint="eastAsia"/>
          <w:b/>
          <w:szCs w:val="30"/>
        </w:rPr>
        <w:t>在</w:t>
      </w:r>
      <w:r>
        <w:rPr>
          <w:rFonts w:ascii="仿宋_GB2312" w:eastAsia="仿宋_GB2312" w:hAnsi="Times New Roman" w:hint="eastAsia"/>
          <w:szCs w:val="30"/>
        </w:rPr>
        <w:t>退市整理期期间发布的风险提示性公告，及时从符合中国证监会规定条件的媒体等渠道获取相关信息。</w:t>
      </w:r>
    </w:p>
    <w:p w:rsidR="00DD6965" w:rsidRPr="00DD6965" w:rsidRDefault="00DD6965">
      <w:pPr>
        <w:pStyle w:val="a5"/>
        <w:spacing w:line="560" w:lineRule="exact"/>
        <w:rPr>
          <w:rFonts w:ascii="仿宋_GB2312" w:eastAsia="仿宋_GB2312" w:hAnsi="Times New Roman"/>
          <w:szCs w:val="30"/>
        </w:rPr>
      </w:pPr>
    </w:p>
    <w:p w:rsidR="00F96FB1" w:rsidRDefault="00F96FB1">
      <w:pPr>
        <w:pStyle w:val="a5"/>
        <w:spacing w:line="360" w:lineRule="auto"/>
        <w:rPr>
          <w:rFonts w:ascii="仿宋_GB2312" w:eastAsia="仿宋_GB2312" w:hAnsi="Times New Roman"/>
          <w:strike/>
          <w:szCs w:val="30"/>
        </w:rPr>
      </w:pP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24" w:name="_Toc117606495"/>
      <w:r>
        <w:rPr>
          <w:sz w:val="36"/>
          <w:szCs w:val="36"/>
        </w:rPr>
        <w:lastRenderedPageBreak/>
        <w:t>1.</w:t>
      </w:r>
      <w:r>
        <w:rPr>
          <w:rFonts w:hint="eastAsia"/>
          <w:sz w:val="36"/>
          <w:szCs w:val="36"/>
        </w:rPr>
        <w:t>4</w:t>
      </w:r>
      <w:r>
        <w:rPr>
          <w:sz w:val="36"/>
          <w:szCs w:val="36"/>
        </w:rPr>
        <w:t xml:space="preserve"> </w:t>
      </w:r>
      <w:r>
        <w:rPr>
          <w:rFonts w:hint="eastAsia"/>
          <w:sz w:val="36"/>
          <w:szCs w:val="36"/>
        </w:rPr>
        <w:t>上海证券交易所科创板股票投资者风险揭示书必备条款</w:t>
      </w:r>
      <w:bookmarkEnd w:id="24"/>
    </w:p>
    <w:p w:rsidR="00F96FB1" w:rsidRDefault="00D33884">
      <w:pPr>
        <w:spacing w:line="360" w:lineRule="auto"/>
        <w:ind w:firstLine="480"/>
        <w:jc w:val="center"/>
        <w:rPr>
          <w:sz w:val="24"/>
          <w:szCs w:val="24"/>
        </w:rPr>
      </w:pPr>
      <w:r>
        <w:rPr>
          <w:rFonts w:hint="eastAsia"/>
          <w:sz w:val="24"/>
          <w:szCs w:val="24"/>
        </w:rPr>
        <w:t>（2023年2月17日修订）</w:t>
      </w:r>
    </w:p>
    <w:p w:rsidR="00F96FB1" w:rsidRDefault="00F96FB1">
      <w:pPr>
        <w:spacing w:line="360" w:lineRule="auto"/>
        <w:ind w:firstLine="480"/>
        <w:jc w:val="center"/>
        <w:rPr>
          <w:color w:val="000000"/>
          <w:sz w:val="24"/>
          <w:szCs w:val="24"/>
        </w:rPr>
      </w:pPr>
    </w:p>
    <w:p w:rsidR="00F96FB1" w:rsidRDefault="00D33884">
      <w:pPr>
        <w:spacing w:line="560" w:lineRule="exact"/>
        <w:rPr>
          <w:color w:val="000000"/>
        </w:rPr>
      </w:pPr>
      <w:r>
        <w:rPr>
          <w:rFonts w:hint="eastAsia"/>
          <w:color w:val="000000"/>
        </w:rPr>
        <w:t>为了使投资者充分了解</w:t>
      </w:r>
      <w:r>
        <w:rPr>
          <w:rFonts w:hAnsi="黑体" w:hint="eastAsia"/>
          <w:color w:val="000000"/>
        </w:rPr>
        <w:t>上海证券交易所（以下简称上交所）全面实行股票发行注册制后</w:t>
      </w:r>
      <w:r>
        <w:rPr>
          <w:rFonts w:hint="eastAsia"/>
        </w:rPr>
        <w:t>科创板股票或存托凭证（以下统称科创板</w:t>
      </w:r>
      <w:r>
        <w:rPr>
          <w:rFonts w:hint="eastAsia"/>
          <w:color w:val="000000"/>
        </w:rPr>
        <w:t>股票）交易（含发行申购）的相关风险，开展科创板股票经纪业务的证券公司应当制定《科创板</w:t>
      </w:r>
      <w:r>
        <w:rPr>
          <w:rFonts w:hAnsi="仿宋" w:hint="eastAsia"/>
          <w:bCs/>
        </w:rPr>
        <w:t>股票投资者</w:t>
      </w:r>
      <w:r>
        <w:rPr>
          <w:rFonts w:hint="eastAsia"/>
          <w:color w:val="000000"/>
        </w:rPr>
        <w:t>风险揭示书》（以下简称《风险揭示书》），向参与科创板股票交易的投资者充分揭示风险。《风险揭示书》应当至少包括下列内容：</w:t>
      </w:r>
    </w:p>
    <w:p w:rsidR="00F96FB1" w:rsidRDefault="00D33884">
      <w:pPr>
        <w:spacing w:line="560" w:lineRule="exact"/>
      </w:pPr>
      <w:r>
        <w:rPr>
          <w:rFonts w:hint="eastAsia"/>
        </w:rPr>
        <w:t>一、</w:t>
      </w:r>
      <w:r>
        <w:rPr>
          <w:rFonts w:hint="eastAsia"/>
          <w:color w:val="000000"/>
        </w:rPr>
        <w:t>科创板企业所处行业和业务往往具有研发投入规模大、盈利周期长、技术迭代快、风险高以及严重依赖核心项目、核心技术人员、少数供应商等特点，</w:t>
      </w:r>
      <w:r>
        <w:rPr>
          <w:rFonts w:hint="eastAsia"/>
        </w:rPr>
        <w:t>企业上市后的持续创新能力、主营业务发展的可持续性、公司收入及盈利水平等仍具有较大不确定性。</w:t>
      </w:r>
    </w:p>
    <w:p w:rsidR="00F96FB1" w:rsidRDefault="00D33884">
      <w:pPr>
        <w:spacing w:line="560" w:lineRule="exact"/>
      </w:pPr>
      <w:r>
        <w:rPr>
          <w:rFonts w:hint="eastAsia"/>
        </w:rPr>
        <w:t>二、科创板企业可能存在首次公开发行前最近3个会计年度未能连续盈利、公开发行并上市时尚未盈利、有累计未弥补亏损等情形，可能存在上市后仍无法盈利、持续亏损、无法进行利润分配等情形。</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三、科创板</w:t>
      </w:r>
      <w:r>
        <w:rPr>
          <w:rFonts w:ascii="仿宋_GB2312" w:eastAsia="仿宋_GB2312" w:hint="eastAsia"/>
          <w:sz w:val="30"/>
          <w:szCs w:val="30"/>
        </w:rPr>
        <w:t>新股发行价格、规模、节奏等坚持市场化导向，</w:t>
      </w:r>
      <w:r>
        <w:rPr>
          <w:rFonts w:ascii="仿宋_GB2312" w:eastAsia="仿宋_GB2312" w:hAnsi="黑体" w:hint="eastAsia"/>
          <w:color w:val="000000"/>
          <w:sz w:val="30"/>
          <w:szCs w:val="30"/>
        </w:rPr>
        <w:t>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w:t>
      </w:r>
      <w:r>
        <w:rPr>
          <w:rFonts w:ascii="仿宋_GB2312" w:eastAsia="仿宋_GB2312" w:hAnsi="黑体" w:hint="eastAsia"/>
          <w:color w:val="000000"/>
          <w:sz w:val="30"/>
          <w:szCs w:val="30"/>
        </w:rPr>
        <w:lastRenderedPageBreak/>
        <w:t>传统估值方法可能不适用，发行定价难度较大，科创板股票上市后可能存在股价波动的风险。</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四、科创板新股发行采用询价方式的，初步询价结束后，科创板发行人预计发行后总市值不满足其在招股说明书中明确选择的市值与财务指标上市标准的，将按规定中止发行。</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eastAsia="仿宋_GB2312" w:hAnsi="黑体"/>
          <w:color w:val="000000"/>
          <w:sz w:val="30"/>
          <w:szCs w:val="30"/>
        </w:rPr>
        <w:t xml:space="preserve"> </w:t>
      </w:r>
    </w:p>
    <w:p w:rsidR="00F96FB1" w:rsidRDefault="00D33884">
      <w:pPr>
        <w:pStyle w:val="af"/>
        <w:spacing w:line="560" w:lineRule="exact"/>
        <w:ind w:firstLine="600"/>
        <w:rPr>
          <w:rFonts w:eastAsia="仿宋_GB2312"/>
          <w:color w:val="000000"/>
          <w:sz w:val="30"/>
          <w:szCs w:val="30"/>
        </w:rPr>
      </w:pPr>
      <w:r>
        <w:rPr>
          <w:rFonts w:ascii="仿宋_GB2312" w:eastAsia="仿宋_GB2312" w:hAnsi="黑体" w:hint="eastAsia"/>
          <w:color w:val="000000"/>
          <w:sz w:val="30"/>
          <w:szCs w:val="30"/>
        </w:rPr>
        <w:t>六、首次公开发行股票时，发行人和主承销商可以采用超额配售选择权，即存在发行人增发股票的可能性。</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Ansi="黑体" w:hint="eastAsia"/>
          <w:color w:val="000000"/>
          <w:sz w:val="30"/>
          <w:szCs w:val="30"/>
        </w:rPr>
        <w:t>七、科创板股票可能主动终止上市，也可能因触及退市情形被终止上市。被实施退市风险警示的科创板股票，存在投资者当日通过竞价交易、大宗交易和盘后固定价格交易累计买入的单只股票数量不超过</w:t>
      </w:r>
      <w:r>
        <w:rPr>
          <w:rFonts w:ascii="仿宋_GB2312" w:eastAsia="仿宋_GB2312" w:hAnsi="黑体"/>
          <w:color w:val="000000"/>
          <w:sz w:val="30"/>
          <w:szCs w:val="30"/>
        </w:rPr>
        <w:t>50万股的限制。</w:t>
      </w:r>
      <w:r>
        <w:rPr>
          <w:rFonts w:ascii="仿宋_GB2312" w:eastAsia="仿宋_GB2312" w:hAnsi="黑体" w:hint="eastAsia"/>
          <w:color w:val="000000"/>
          <w:sz w:val="30"/>
          <w:szCs w:val="30"/>
        </w:rPr>
        <w:t>主动终止上市或</w:t>
      </w:r>
      <w:r>
        <w:rPr>
          <w:rFonts w:ascii="仿宋_GB2312" w:eastAsia="仿宋_GB2312" w:hAnsi="黑体"/>
          <w:color w:val="000000"/>
          <w:sz w:val="30"/>
          <w:szCs w:val="30"/>
        </w:rPr>
        <w:t>因触及交易类情形被终止上市的，不进入退市整理期，</w:t>
      </w:r>
      <w:r>
        <w:rPr>
          <w:rFonts w:ascii="仿宋_GB2312" w:eastAsia="仿宋_GB2312" w:hAnsi="黑体" w:hint="eastAsia"/>
          <w:color w:val="000000"/>
          <w:sz w:val="30"/>
          <w:szCs w:val="30"/>
        </w:rPr>
        <w:t>直接予以摘牌；</w:t>
      </w:r>
      <w:r>
        <w:rPr>
          <w:rFonts w:ascii="仿宋_GB2312" w:eastAsia="仿宋_GB2312" w:hAnsi="黑体"/>
          <w:color w:val="000000"/>
          <w:sz w:val="30"/>
          <w:szCs w:val="30"/>
        </w:rPr>
        <w:t>因触及重大违法类、财务类或者规范类情形被终止上市的，进入退市整理期交易15个交易日</w:t>
      </w:r>
      <w:r>
        <w:rPr>
          <w:rFonts w:ascii="仿宋_GB2312" w:eastAsia="仿宋_GB2312" w:hAnsi="黑体" w:hint="eastAsia"/>
          <w:color w:val="000000"/>
          <w:sz w:val="30"/>
          <w:szCs w:val="30"/>
        </w:rPr>
        <w:t>后予以摘牌</w:t>
      </w:r>
      <w:r>
        <w:rPr>
          <w:rFonts w:ascii="仿宋_GB2312" w:eastAsia="仿宋_GB2312" w:hAnsi="黑体"/>
          <w:color w:val="000000"/>
          <w:sz w:val="30"/>
          <w:szCs w:val="30"/>
        </w:rPr>
        <w:t>。投资者应当充分了解相关规定，密切关注退市风险。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color w:val="000000"/>
          <w:sz w:val="30"/>
          <w:szCs w:val="30"/>
        </w:rPr>
        <w:t>八、科创板制度允许上市公司设置表决权差异安排。上市公司可能根据此项安排，存在控制权相对集中，以及因每一特别表决权股份拥有的表决权数量大于每一普通股份拥有的表决权数量等情形，而使</w:t>
      </w:r>
      <w:r>
        <w:rPr>
          <w:rFonts w:ascii="仿宋_GB2312" w:eastAsia="仿宋_GB2312" w:hint="eastAsia"/>
          <w:sz w:val="30"/>
          <w:szCs w:val="30"/>
        </w:rPr>
        <w:t>普通投资者的表决权利及对公司日常经营等事务</w:t>
      </w:r>
      <w:r>
        <w:rPr>
          <w:rFonts w:ascii="仿宋_GB2312" w:eastAsia="仿宋_GB2312" w:hint="eastAsia"/>
          <w:sz w:val="30"/>
          <w:szCs w:val="30"/>
        </w:rPr>
        <w:lastRenderedPageBreak/>
        <w:t>的影响力受到限制。</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int="eastAsia"/>
          <w:color w:val="000000"/>
          <w:sz w:val="30"/>
          <w:szCs w:val="30"/>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rsidR="00F96FB1" w:rsidRDefault="00D33884">
      <w:pPr>
        <w:spacing w:line="560" w:lineRule="exact"/>
      </w:pPr>
      <w:r>
        <w:rPr>
          <w:rFonts w:hint="eastAsia"/>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rsidR="00F96FB1" w:rsidRDefault="00D33884">
      <w:pPr>
        <w:numPr>
          <w:ilvl w:val="255"/>
          <w:numId w:val="0"/>
        </w:numPr>
        <w:spacing w:line="560" w:lineRule="exact"/>
        <w:ind w:firstLineChars="200" w:firstLine="600"/>
      </w:pPr>
      <w:r>
        <w:rPr>
          <w:rFonts w:hint="eastAsia"/>
        </w:rPr>
        <w:t>十三、科创板股票交易可以实行做市商机制，做市商可以为科创板股票提供双边报价服务，请投资者及时关注相关事项。</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十四、投资者需关注科创板股票交易的单笔申报数量、有效</w:t>
      </w:r>
      <w:r>
        <w:rPr>
          <w:rFonts w:ascii="仿宋_GB2312" w:eastAsia="仿宋_GB2312" w:hint="eastAsia"/>
          <w:sz w:val="30"/>
          <w:szCs w:val="30"/>
        </w:rPr>
        <w:lastRenderedPageBreak/>
        <w:t>申报价格范围等与上交所主板市场股票交易存在差异，避免产生无效申报。</w:t>
      </w:r>
    </w:p>
    <w:p w:rsidR="00F96FB1" w:rsidRDefault="00D33884">
      <w:pPr>
        <w:spacing w:line="560" w:lineRule="exact"/>
      </w:pPr>
      <w:r>
        <w:rPr>
          <w:rFonts w:hint="eastAsia"/>
        </w:rPr>
        <w:t>十五、投资者需关注科创板股票交易方式包括竞价交易、盘后固定价格交易及大宗交易，不同交易方式的交易时间、申报要求、成交原则等存在差异。科创板股票大宗交易，</w:t>
      </w:r>
      <w:r>
        <w:rPr>
          <w:rFonts w:hint="eastAsia"/>
          <w:color w:val="000000"/>
        </w:rPr>
        <w:t>不适用上交所主板市场股票大宗交易中固定价格申报的相关规定。</w:t>
      </w:r>
    </w:p>
    <w:p w:rsidR="00F96FB1" w:rsidRDefault="00D33884">
      <w:pPr>
        <w:spacing w:line="560" w:lineRule="exact"/>
      </w:pPr>
      <w:r>
        <w:rPr>
          <w:rFonts w:hint="eastAsia"/>
        </w:rPr>
        <w:t>十六、科创板股票上市首日即可作为融资融券标的，投资者应注意相关风险。</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十七、科创板股票</w:t>
      </w:r>
      <w:r>
        <w:rPr>
          <w:rFonts w:eastAsia="仿宋_GB2312" w:hint="eastAsia"/>
          <w:color w:val="000000"/>
          <w:sz w:val="30"/>
          <w:szCs w:val="30"/>
        </w:rPr>
        <w:t>的交易公开信息披露指标及异常波动情形、严重异常波动情形披露指标与上交所主板市场规定不同，</w:t>
      </w:r>
      <w:r>
        <w:rPr>
          <w:rFonts w:ascii="仿宋_GB2312" w:eastAsia="仿宋_GB2312" w:hint="eastAsia"/>
          <w:sz w:val="30"/>
          <w:szCs w:val="30"/>
        </w:rPr>
        <w:t>投资者应当关注与此相关的风险。</w:t>
      </w:r>
    </w:p>
    <w:p w:rsidR="00F96FB1" w:rsidRDefault="00D33884">
      <w:pPr>
        <w:pStyle w:val="af"/>
        <w:spacing w:line="560" w:lineRule="exact"/>
        <w:ind w:firstLine="600"/>
        <w:rPr>
          <w:rFonts w:eastAsia="仿宋_GB2312"/>
          <w:color w:val="000000"/>
          <w:sz w:val="30"/>
          <w:szCs w:val="30"/>
        </w:rPr>
      </w:pPr>
      <w:r>
        <w:rPr>
          <w:rFonts w:eastAsia="仿宋_GB2312" w:hint="eastAsia"/>
          <w:color w:val="000000"/>
          <w:sz w:val="30"/>
          <w:szCs w:val="30"/>
        </w:rPr>
        <w:t>十八、符合相关规定的红筹企业可以在科创板上市。红筹企业在境外注册，可能采用协议控制架构，在上市标准、信息披露、分红派息、退市标准等方面可能与境内上市公司存在差异。</w:t>
      </w:r>
      <w:r>
        <w:rPr>
          <w:rFonts w:ascii="仿宋_GB2312" w:eastAsia="仿宋_GB2312" w:hint="eastAsia"/>
          <w:sz w:val="30"/>
          <w:szCs w:val="30"/>
        </w:rPr>
        <w:t>红筹企业注册地、境外上市地等地法律法规对当地投资者提供的保护,可能与境内法律为境内投资者提供的保护存在差异。</w:t>
      </w:r>
    </w:p>
    <w:p w:rsidR="00F96FB1" w:rsidRDefault="00D33884">
      <w:pPr>
        <w:pStyle w:val="af"/>
        <w:spacing w:line="560" w:lineRule="exact"/>
        <w:ind w:firstLineChars="0" w:firstLine="0"/>
        <w:rPr>
          <w:rFonts w:ascii="仿宋_GB2312" w:eastAsia="仿宋_GB2312"/>
          <w:sz w:val="30"/>
          <w:szCs w:val="30"/>
        </w:rPr>
      </w:pPr>
      <w:r>
        <w:rPr>
          <w:rFonts w:ascii="仿宋_GB2312" w:eastAsia="仿宋_GB2312" w:hint="eastAsia"/>
          <w:sz w:val="30"/>
          <w:szCs w:val="30"/>
        </w:rPr>
        <w:t xml:space="preserve">    十九、</w:t>
      </w:r>
      <w:r>
        <w:rPr>
          <w:rFonts w:eastAsia="仿宋_GB2312" w:hint="eastAsia"/>
          <w:color w:val="000000"/>
          <w:sz w:val="30"/>
          <w:szCs w:val="30"/>
        </w:rPr>
        <w:t>红筹企业可以发行股票或存托凭证在科创板上市。</w:t>
      </w:r>
      <w:r>
        <w:rPr>
          <w:rFonts w:ascii="仿宋_GB2312" w:eastAsia="仿宋_GB2312" w:hint="eastAsia"/>
          <w:sz w:val="30"/>
          <w:szCs w:val="30"/>
        </w:rPr>
        <w:t>存托凭证由存托人签发、以境外证券为基础在中国境内发行,代表境外基础证券权益。红筹</w:t>
      </w:r>
      <w:r w:rsidR="00703280">
        <w:rPr>
          <w:rFonts w:ascii="仿宋_GB2312" w:eastAsia="仿宋_GB2312" w:hint="eastAsia"/>
          <w:sz w:val="30"/>
          <w:szCs w:val="30"/>
        </w:rPr>
        <w:t>企业</w:t>
      </w:r>
      <w:r>
        <w:rPr>
          <w:rFonts w:ascii="仿宋_GB2312" w:eastAsia="仿宋_GB2312" w:hint="eastAsia"/>
          <w:sz w:val="30"/>
          <w:szCs w:val="30"/>
        </w:rPr>
        <w:t>存托凭证持有人实际享有的权益与境外基础证券持有人的权益虽然基本相当,但并不能等同于直接持有境外基础证券。</w:t>
      </w:r>
      <w:r>
        <w:rPr>
          <w:rFonts w:eastAsia="仿宋_GB2312" w:hint="eastAsia"/>
          <w:color w:val="000000"/>
          <w:sz w:val="30"/>
          <w:szCs w:val="30"/>
        </w:rPr>
        <w:t>投资者</w:t>
      </w:r>
      <w:r>
        <w:rPr>
          <w:rFonts w:ascii="仿宋_GB2312" w:eastAsia="仿宋_GB2312" w:hint="eastAsia"/>
          <w:sz w:val="30"/>
          <w:szCs w:val="30"/>
        </w:rPr>
        <w:t>应当充分知悉存托协议和相关规则的具体内容，</w:t>
      </w:r>
      <w:r w:rsidR="00703280">
        <w:rPr>
          <w:rFonts w:ascii="仿宋_GB2312" w:eastAsia="仿宋_GB2312" w:hint="eastAsia"/>
          <w:sz w:val="30"/>
          <w:szCs w:val="30"/>
        </w:rPr>
        <w:t>关注</w:t>
      </w:r>
      <w:r>
        <w:rPr>
          <w:rFonts w:ascii="仿宋_GB2312" w:eastAsia="仿宋_GB2312" w:hint="eastAsia"/>
          <w:sz w:val="30"/>
          <w:szCs w:val="30"/>
        </w:rPr>
        <w:t>交易和持有红筹</w:t>
      </w:r>
      <w:r w:rsidR="00703280">
        <w:rPr>
          <w:rFonts w:ascii="仿宋_GB2312" w:eastAsia="仿宋_GB2312" w:hint="eastAsia"/>
          <w:sz w:val="30"/>
          <w:szCs w:val="30"/>
        </w:rPr>
        <w:t>企业</w:t>
      </w:r>
      <w:r>
        <w:rPr>
          <w:rFonts w:ascii="仿宋_GB2312" w:eastAsia="仿宋_GB2312" w:hint="eastAsia"/>
          <w:sz w:val="30"/>
          <w:szCs w:val="30"/>
        </w:rPr>
        <w:t>股票或存托凭证过程中可能存在的风险。</w:t>
      </w:r>
    </w:p>
    <w:p w:rsidR="00F96FB1" w:rsidRDefault="00D33884">
      <w:pPr>
        <w:pStyle w:val="af"/>
        <w:spacing w:line="560" w:lineRule="exact"/>
        <w:ind w:firstLineChars="0" w:firstLine="600"/>
        <w:rPr>
          <w:rFonts w:ascii="仿宋_GB2312" w:eastAsia="仿宋_GB2312"/>
          <w:sz w:val="30"/>
          <w:szCs w:val="30"/>
        </w:rPr>
      </w:pPr>
      <w:r>
        <w:rPr>
          <w:rFonts w:ascii="仿宋_GB2312" w:eastAsia="仿宋_GB2312" w:hint="eastAsia"/>
          <w:sz w:val="30"/>
          <w:szCs w:val="30"/>
        </w:rPr>
        <w:t>二十、科创板股票相关法律、行政法规、部门规章、规范性</w:t>
      </w:r>
      <w:r>
        <w:rPr>
          <w:rFonts w:ascii="仿宋_GB2312" w:eastAsia="仿宋_GB2312" w:hint="eastAsia"/>
          <w:sz w:val="30"/>
          <w:szCs w:val="30"/>
        </w:rPr>
        <w:lastRenderedPageBreak/>
        <w:t>文件（以下简称法律法规）和交易所业务规则，可能根据市场情况进行修改，或者制定新的法律法规和业务规则，投资者应当及时予以关注和了解。</w:t>
      </w:r>
    </w:p>
    <w:p w:rsidR="00F96FB1" w:rsidRDefault="00D33884">
      <w:pPr>
        <w:widowControl/>
        <w:spacing w:line="240" w:lineRule="auto"/>
        <w:ind w:firstLineChars="0" w:firstLine="0"/>
        <w:jc w:val="left"/>
        <w:rPr>
          <w:b/>
          <w:color w:val="000000"/>
          <w:sz w:val="24"/>
          <w:szCs w:val="24"/>
        </w:rPr>
      </w:pPr>
      <w:r>
        <w:rPr>
          <w:b/>
          <w:color w:val="000000"/>
          <w:sz w:val="24"/>
          <w:szCs w:val="24"/>
        </w:rPr>
        <w:br w:type="page"/>
      </w:r>
    </w:p>
    <w:p w:rsidR="00F96FB1" w:rsidRDefault="00D33884">
      <w:pPr>
        <w:pStyle w:val="2"/>
        <w:jc w:val="left"/>
        <w:rPr>
          <w:sz w:val="36"/>
          <w:szCs w:val="36"/>
        </w:rPr>
      </w:pPr>
      <w:bookmarkStart w:id="25" w:name="_Toc117606273"/>
      <w:bookmarkStart w:id="26" w:name="_Toc117606496"/>
      <w:r>
        <w:rPr>
          <w:rFonts w:ascii="仿宋_GB2312" w:eastAsia="仿宋_GB2312" w:hAnsi="仿宋" w:hint="eastAsia"/>
          <w:sz w:val="30"/>
          <w:szCs w:val="30"/>
        </w:rPr>
        <w:lastRenderedPageBreak/>
        <w:t>附录：</w:t>
      </w:r>
      <w:bookmarkEnd w:id="25"/>
      <w:bookmarkEnd w:id="26"/>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《上海证券交易所科创板股票投资者风险揭示书必备条款》历次修订</w:t>
      </w:r>
    </w:p>
    <w:p w:rsidR="00F96FB1" w:rsidRDefault="00D33884">
      <w:pPr>
        <w:pStyle w:val="af"/>
        <w:widowControl/>
        <w:spacing w:line="560" w:lineRule="exact"/>
        <w:ind w:left="420" w:firstLineChars="0" w:firstLine="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Default="00D33884">
      <w:pPr>
        <w:spacing w:line="560" w:lineRule="exact"/>
        <w:rPr>
          <w:rFonts w:hAnsi="仿宋"/>
          <w:bCs/>
        </w:rPr>
      </w:pPr>
      <w:r>
        <w:rPr>
          <w:rFonts w:hAnsi="仿宋" w:hint="eastAsia"/>
          <w:bCs/>
        </w:rPr>
        <w:t>1.1</w:t>
      </w:r>
      <w:r>
        <w:rPr>
          <w:rFonts w:hAnsi="仿宋" w:hint="eastAsia"/>
          <w:b/>
        </w:rPr>
        <w:t>修改</w:t>
      </w:r>
      <w:r>
        <w:rPr>
          <w:rFonts w:hAnsi="仿宋" w:hint="eastAsia"/>
          <w:bCs/>
        </w:rPr>
        <w:t>第三条：</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三、科创板</w:t>
      </w:r>
      <w:r>
        <w:rPr>
          <w:rFonts w:ascii="仿宋_GB2312" w:eastAsia="仿宋_GB2312" w:hint="eastAsia"/>
          <w:sz w:val="30"/>
          <w:szCs w:val="30"/>
        </w:rPr>
        <w:t>新股发行价格、规模、节奏等坚持市场化导向，</w:t>
      </w:r>
      <w:r>
        <w:rPr>
          <w:rFonts w:ascii="仿宋_GB2312" w:eastAsia="仿宋_GB2312" w:hint="eastAsia"/>
          <w:strike/>
          <w:sz w:val="30"/>
          <w:szCs w:val="30"/>
        </w:rPr>
        <w:t>询价、定价、配售等环节由机构投资者主导。</w:t>
      </w:r>
      <w:r>
        <w:rPr>
          <w:rFonts w:ascii="仿宋_GB2312" w:eastAsia="仿宋_GB2312" w:hAnsi="黑体" w:hint="eastAsia"/>
          <w:strike/>
          <w:color w:val="000000"/>
          <w:sz w:val="30"/>
          <w:szCs w:val="30"/>
        </w:rPr>
        <w:t>科创板新股发行全部</w:t>
      </w:r>
      <w:r>
        <w:rPr>
          <w:rFonts w:ascii="仿宋_GB2312" w:eastAsia="仿宋_GB2312" w:hAnsi="黑体" w:hint="eastAsia"/>
          <w:b/>
          <w:color w:val="000000"/>
          <w:sz w:val="30"/>
          <w:szCs w:val="30"/>
        </w:rPr>
        <w:t>可能</w:t>
      </w:r>
      <w:r>
        <w:rPr>
          <w:rFonts w:ascii="仿宋_GB2312" w:eastAsia="仿宋_GB2312" w:hAnsi="黑体" w:hint="eastAsia"/>
          <w:color w:val="000000"/>
          <w:sz w:val="30"/>
          <w:szCs w:val="30"/>
        </w:rPr>
        <w:t>采用</w:t>
      </w:r>
      <w:r>
        <w:rPr>
          <w:rFonts w:ascii="仿宋_GB2312" w:eastAsia="仿宋_GB2312" w:hAnsi="黑体" w:hint="eastAsia"/>
          <w:b/>
          <w:color w:val="000000"/>
          <w:sz w:val="30"/>
          <w:szCs w:val="30"/>
        </w:rPr>
        <w:t>直接定价或者</w:t>
      </w:r>
      <w:r>
        <w:rPr>
          <w:rFonts w:ascii="仿宋_GB2312" w:eastAsia="仿宋_GB2312" w:hAnsi="黑体" w:hint="eastAsia"/>
          <w:color w:val="000000"/>
          <w:sz w:val="30"/>
          <w:szCs w:val="30"/>
        </w:rPr>
        <w:t>询价定价方式</w:t>
      </w:r>
      <w:r>
        <w:rPr>
          <w:rFonts w:ascii="仿宋_GB2312" w:eastAsia="仿宋_GB2312" w:hAnsi="黑体" w:hint="eastAsia"/>
          <w:b/>
          <w:color w:val="000000"/>
          <w:sz w:val="30"/>
          <w:szCs w:val="30"/>
        </w:rPr>
        <w:t>发行</w:t>
      </w:r>
      <w:r>
        <w:rPr>
          <w:rFonts w:ascii="仿宋_GB2312" w:eastAsia="仿宋_GB2312" w:hAnsi="黑体" w:hint="eastAsia"/>
          <w:color w:val="000000"/>
          <w:sz w:val="30"/>
          <w:szCs w:val="30"/>
        </w:rPr>
        <w:t>。</w:t>
      </w:r>
      <w:r>
        <w:rPr>
          <w:rFonts w:ascii="仿宋_GB2312" w:eastAsia="仿宋_GB2312" w:hAnsi="黑体" w:hint="eastAsia"/>
          <w:b/>
          <w:color w:val="000000"/>
          <w:sz w:val="30"/>
          <w:szCs w:val="30"/>
        </w:rPr>
        <w:t>采用询价定价方式的，</w:t>
      </w:r>
      <w:r>
        <w:rPr>
          <w:rFonts w:ascii="仿宋_GB2312" w:eastAsia="仿宋_GB2312" w:hAnsi="黑体" w:hint="eastAsia"/>
          <w:color w:val="000000"/>
          <w:sz w:val="30"/>
          <w:szCs w:val="30"/>
        </w:rPr>
        <w:t>询价对象限定在证券公司等</w:t>
      </w:r>
      <w:r>
        <w:rPr>
          <w:rFonts w:ascii="仿宋_GB2312" w:eastAsia="仿宋_GB2312" w:hAnsi="黑体" w:hint="eastAsia"/>
          <w:strike/>
          <w:color w:val="000000"/>
          <w:sz w:val="30"/>
          <w:szCs w:val="30"/>
        </w:rPr>
        <w:t>七</w:t>
      </w:r>
      <w:r>
        <w:rPr>
          <w:rFonts w:ascii="仿宋_GB2312" w:eastAsia="仿宋_GB2312" w:hAnsi="黑体" w:hint="eastAsia"/>
          <w:b/>
          <w:color w:val="000000"/>
          <w:sz w:val="30"/>
          <w:szCs w:val="30"/>
        </w:rPr>
        <w:t>八</w:t>
      </w:r>
      <w:r>
        <w:rPr>
          <w:rFonts w:ascii="仿宋_GB2312" w:eastAsia="仿宋_GB2312" w:hAnsi="黑体" w:hint="eastAsia"/>
          <w:color w:val="000000"/>
          <w:sz w:val="30"/>
          <w:szCs w:val="30"/>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rsidR="00F96FB1" w:rsidRDefault="00D33884">
      <w:pPr>
        <w:spacing w:line="560" w:lineRule="exact"/>
        <w:rPr>
          <w:rFonts w:hAnsi="仿宋"/>
          <w:bCs/>
        </w:rPr>
      </w:pPr>
      <w:r>
        <w:rPr>
          <w:rFonts w:hAnsi="仿宋" w:hint="eastAsia"/>
          <w:bCs/>
        </w:rPr>
        <w:t>1.2</w:t>
      </w:r>
      <w:r>
        <w:rPr>
          <w:rFonts w:hAnsi="仿宋" w:hint="eastAsia"/>
          <w:b/>
        </w:rPr>
        <w:t>修改</w:t>
      </w:r>
      <w:r>
        <w:rPr>
          <w:rFonts w:hAnsi="仿宋" w:hint="eastAsia"/>
          <w:bCs/>
        </w:rPr>
        <w:t>第四条：</w:t>
      </w:r>
    </w:p>
    <w:p w:rsidR="00F96FB1" w:rsidRDefault="00D33884">
      <w:pPr>
        <w:spacing w:line="560" w:lineRule="exact"/>
      </w:pPr>
      <w:r>
        <w:rPr>
          <w:rFonts w:hAnsi="黑体" w:hint="eastAsia"/>
          <w:color w:val="000000"/>
        </w:rPr>
        <w:t>四、</w:t>
      </w:r>
      <w:r>
        <w:rPr>
          <w:rFonts w:hAnsi="黑体" w:hint="eastAsia"/>
          <w:b/>
          <w:color w:val="000000"/>
        </w:rPr>
        <w:t>科创板新股发行采用询价方式的，</w:t>
      </w:r>
      <w:r>
        <w:rPr>
          <w:rFonts w:hAnsi="黑体" w:hint="eastAsia"/>
          <w:color w:val="000000"/>
        </w:rPr>
        <w:t>初步询价结束后，科创板发行人预计发行后总市值不满足其在招股说明书中明确选择的市值与财务指标上市标准的，将按规定中止发行。</w:t>
      </w:r>
    </w:p>
    <w:p w:rsidR="00F96FB1" w:rsidRDefault="00D33884">
      <w:pPr>
        <w:spacing w:line="560" w:lineRule="exact"/>
        <w:rPr>
          <w:rFonts w:hAnsi="仿宋"/>
          <w:bCs/>
        </w:rPr>
      </w:pPr>
      <w:r>
        <w:rPr>
          <w:rFonts w:hAnsi="仿宋" w:hint="eastAsia"/>
          <w:bCs/>
        </w:rPr>
        <w:t>1.3</w:t>
      </w:r>
      <w:r>
        <w:rPr>
          <w:rFonts w:hAnsi="仿宋" w:hint="eastAsia"/>
          <w:b/>
        </w:rPr>
        <w:t>修改</w:t>
      </w:r>
      <w:r>
        <w:rPr>
          <w:rFonts w:hAnsi="仿宋" w:hint="eastAsia"/>
          <w:bCs/>
        </w:rPr>
        <w:t>第五条：</w:t>
      </w:r>
    </w:p>
    <w:p w:rsidR="00F96FB1" w:rsidRDefault="00D33884">
      <w:pPr>
        <w:pStyle w:val="af"/>
        <w:spacing w:line="560" w:lineRule="exact"/>
        <w:ind w:firstLine="600"/>
        <w:rPr>
          <w:rFonts w:ascii="仿宋_GB2312" w:eastAsia="仿宋_GB2312" w:hAnsi="黑体"/>
          <w:color w:val="000000"/>
          <w:sz w:val="30"/>
          <w:szCs w:val="30"/>
        </w:rPr>
      </w:pPr>
      <w:r>
        <w:rPr>
          <w:rFonts w:ascii="仿宋_GB2312" w:eastAsia="仿宋_GB2312" w:hAnsi="黑体" w:hint="eastAsia"/>
          <w:color w:val="000000"/>
          <w:sz w:val="30"/>
          <w:szCs w:val="30"/>
        </w:rPr>
        <w:t>五、</w:t>
      </w:r>
      <w:r>
        <w:rPr>
          <w:rFonts w:ascii="仿宋_GB2312" w:eastAsia="仿宋_GB2312" w:hAnsi="黑体" w:hint="eastAsia"/>
          <w:b/>
          <w:color w:val="000000"/>
          <w:sz w:val="30"/>
          <w:szCs w:val="30"/>
        </w:rPr>
        <w:t>根据首次公开发行科创板股票发行后总股本差异、是否为未盈利企业，网上初始发行比例可能</w:t>
      </w:r>
      <w:bookmarkStart w:id="27" w:name="_GoBack"/>
      <w:bookmarkEnd w:id="27"/>
      <w:r>
        <w:rPr>
          <w:rFonts w:ascii="仿宋_GB2312" w:eastAsia="仿宋_GB2312" w:hAnsi="黑体" w:hint="eastAsia"/>
          <w:b/>
          <w:color w:val="000000"/>
          <w:sz w:val="30"/>
          <w:szCs w:val="30"/>
        </w:rPr>
        <w:t>有所差别；根据网上投资者有效申购倍数差异，可能存在不同的网下向网上回拨比例。</w:t>
      </w:r>
      <w:r>
        <w:rPr>
          <w:rFonts w:ascii="仿宋_GB2312" w:eastAsia="仿宋_GB2312" w:hAnsi="黑体" w:hint="eastAsia"/>
          <w:color w:val="000000"/>
          <w:sz w:val="30"/>
          <w:szCs w:val="30"/>
        </w:rPr>
        <w:t>科创板股票网上发行比例、网下向网上回拨比例</w:t>
      </w:r>
      <w:r>
        <w:rPr>
          <w:rFonts w:ascii="仿宋_GB2312" w:eastAsia="仿宋_GB2312" w:hAnsi="黑体" w:hint="eastAsia"/>
          <w:strike/>
          <w:color w:val="000000"/>
          <w:sz w:val="30"/>
          <w:szCs w:val="30"/>
        </w:rPr>
        <w:t>、申购单位、投资风险特别公告发布等</w:t>
      </w:r>
      <w:r>
        <w:rPr>
          <w:rFonts w:ascii="仿宋_GB2312" w:eastAsia="仿宋_GB2312" w:hAnsi="黑体" w:hint="eastAsia"/>
          <w:color w:val="000000"/>
          <w:sz w:val="30"/>
          <w:szCs w:val="30"/>
        </w:rPr>
        <w:t>与</w:t>
      </w:r>
      <w:r>
        <w:rPr>
          <w:rFonts w:ascii="仿宋_GB2312" w:eastAsia="仿宋_GB2312" w:hAnsi="黑体" w:hint="eastAsia"/>
          <w:strike/>
          <w:color w:val="000000"/>
          <w:sz w:val="30"/>
          <w:szCs w:val="30"/>
        </w:rPr>
        <w:t>目前</w:t>
      </w:r>
      <w:r>
        <w:rPr>
          <w:rFonts w:ascii="仿宋_GB2312" w:eastAsia="仿宋_GB2312" w:hAnsi="黑体" w:hint="eastAsia"/>
          <w:color w:val="000000"/>
          <w:sz w:val="30"/>
          <w:szCs w:val="30"/>
        </w:rPr>
        <w:t>上交所主板股票发行规则存在差异，投资者应当</w:t>
      </w:r>
      <w:r>
        <w:rPr>
          <w:rFonts w:ascii="仿宋_GB2312" w:eastAsia="仿宋_GB2312" w:hAnsi="黑体" w:hint="eastAsia"/>
          <w:strike/>
          <w:color w:val="000000"/>
          <w:sz w:val="30"/>
          <w:szCs w:val="30"/>
        </w:rPr>
        <w:t>在申购环节充分知悉并</w:t>
      </w:r>
      <w:r>
        <w:rPr>
          <w:rFonts w:ascii="仿宋_GB2312" w:eastAsia="仿宋_GB2312" w:hAnsi="黑体" w:hint="eastAsia"/>
          <w:color w:val="000000"/>
          <w:sz w:val="30"/>
          <w:szCs w:val="30"/>
        </w:rPr>
        <w:t>关注</w:t>
      </w:r>
      <w:r>
        <w:rPr>
          <w:rFonts w:ascii="仿宋_GB2312" w:eastAsia="仿宋_GB2312" w:hAnsi="黑体" w:hint="eastAsia"/>
          <w:strike/>
          <w:color w:val="000000"/>
          <w:sz w:val="30"/>
          <w:szCs w:val="30"/>
        </w:rPr>
        <w:t>相关规则</w:t>
      </w:r>
      <w:r>
        <w:rPr>
          <w:rFonts w:ascii="仿宋_GB2312" w:eastAsia="仿宋_GB2312" w:hAnsi="黑体" w:hint="eastAsia"/>
          <w:color w:val="000000"/>
          <w:sz w:val="30"/>
          <w:szCs w:val="30"/>
        </w:rPr>
        <w:t>。</w:t>
      </w:r>
      <w:r>
        <w:rPr>
          <w:rFonts w:ascii="仿宋_GB2312" w:eastAsia="仿宋_GB2312" w:hAnsi="黑体"/>
          <w:color w:val="000000"/>
          <w:sz w:val="30"/>
          <w:szCs w:val="30"/>
        </w:rPr>
        <w:t xml:space="preserve"> </w:t>
      </w:r>
    </w:p>
    <w:p w:rsidR="00F96FB1" w:rsidRDefault="00D33884">
      <w:pPr>
        <w:spacing w:line="560" w:lineRule="exact"/>
        <w:rPr>
          <w:rFonts w:hAnsi="仿宋"/>
          <w:bCs/>
        </w:rPr>
      </w:pPr>
      <w:r>
        <w:rPr>
          <w:rFonts w:hAnsi="仿宋" w:hint="eastAsia"/>
          <w:bCs/>
        </w:rPr>
        <w:lastRenderedPageBreak/>
        <w:t>1.4</w:t>
      </w:r>
      <w:r>
        <w:rPr>
          <w:rFonts w:hAnsi="仿宋" w:hint="eastAsia"/>
          <w:b/>
        </w:rPr>
        <w:t>修改</w:t>
      </w:r>
      <w:r>
        <w:rPr>
          <w:rFonts w:hAnsi="仿宋" w:hint="eastAsia"/>
          <w:bCs/>
        </w:rPr>
        <w:t>第六条：</w:t>
      </w:r>
    </w:p>
    <w:p w:rsidR="00F96FB1" w:rsidRDefault="00D33884">
      <w:pPr>
        <w:pStyle w:val="af"/>
        <w:spacing w:line="560" w:lineRule="exact"/>
        <w:ind w:firstLine="600"/>
        <w:rPr>
          <w:rFonts w:eastAsia="仿宋_GB2312"/>
          <w:color w:val="000000"/>
          <w:sz w:val="30"/>
          <w:szCs w:val="30"/>
        </w:rPr>
      </w:pPr>
      <w:r>
        <w:rPr>
          <w:rFonts w:ascii="仿宋_GB2312" w:eastAsia="仿宋_GB2312" w:hAnsi="黑体" w:hint="eastAsia"/>
          <w:color w:val="000000"/>
          <w:sz w:val="30"/>
          <w:szCs w:val="30"/>
        </w:rPr>
        <w:t>六、首次公开发行股票时，发行人和主承销商可以采用超额配售选择权，</w:t>
      </w:r>
      <w:r>
        <w:rPr>
          <w:rFonts w:ascii="仿宋_GB2312" w:eastAsia="仿宋_GB2312" w:hAnsi="黑体" w:hint="eastAsia"/>
          <w:strike/>
          <w:color w:val="000000"/>
          <w:sz w:val="30"/>
          <w:szCs w:val="30"/>
        </w:rPr>
        <w:t>不受首次公开发行股票数量条件的限制，</w:t>
      </w:r>
      <w:r>
        <w:rPr>
          <w:rFonts w:ascii="仿宋_GB2312" w:eastAsia="仿宋_GB2312" w:hAnsi="黑体" w:hint="eastAsia"/>
          <w:color w:val="000000"/>
          <w:sz w:val="30"/>
          <w:szCs w:val="30"/>
        </w:rPr>
        <w:t>即存在</w:t>
      </w:r>
      <w:r>
        <w:rPr>
          <w:rFonts w:ascii="仿宋_GB2312" w:eastAsia="仿宋_GB2312" w:hAnsi="黑体" w:hint="eastAsia"/>
          <w:strike/>
          <w:color w:val="000000"/>
          <w:sz w:val="30"/>
          <w:szCs w:val="30"/>
        </w:rPr>
        <w:t>超额配售选择权实施结束后，</w:t>
      </w:r>
      <w:r>
        <w:rPr>
          <w:rFonts w:ascii="仿宋_GB2312" w:eastAsia="仿宋_GB2312" w:hAnsi="黑体" w:hint="eastAsia"/>
          <w:color w:val="000000"/>
          <w:sz w:val="30"/>
          <w:szCs w:val="30"/>
        </w:rPr>
        <w:t>发行人增发股票的可能性。</w:t>
      </w:r>
    </w:p>
    <w:p w:rsidR="00F96FB1" w:rsidRDefault="00D33884">
      <w:pPr>
        <w:spacing w:line="560" w:lineRule="exact"/>
        <w:rPr>
          <w:rFonts w:hAnsi="仿宋"/>
          <w:bCs/>
        </w:rPr>
      </w:pPr>
      <w:r>
        <w:rPr>
          <w:rFonts w:hAnsi="仿宋" w:hint="eastAsia"/>
          <w:bCs/>
        </w:rPr>
        <w:t>1.5</w:t>
      </w:r>
      <w:r>
        <w:rPr>
          <w:rFonts w:hAnsi="仿宋" w:hint="eastAsia"/>
          <w:b/>
        </w:rPr>
        <w:t>修改</w:t>
      </w:r>
      <w:r>
        <w:rPr>
          <w:rFonts w:hAnsi="仿宋" w:hint="eastAsia"/>
          <w:bCs/>
        </w:rPr>
        <w:t>第七条：</w:t>
      </w:r>
    </w:p>
    <w:p w:rsidR="00F96FB1" w:rsidRDefault="00D33884">
      <w:pPr>
        <w:pStyle w:val="af"/>
        <w:spacing w:line="560" w:lineRule="exact"/>
        <w:ind w:firstLine="600"/>
        <w:rPr>
          <w:rFonts w:ascii="仿宋_GB2312" w:eastAsia="仿宋_GB2312"/>
          <w:color w:val="000000"/>
          <w:sz w:val="30"/>
          <w:szCs w:val="30"/>
        </w:rPr>
      </w:pPr>
      <w:r>
        <w:rPr>
          <w:rFonts w:ascii="仿宋_GB2312" w:eastAsia="仿宋_GB2312" w:hAnsi="黑体" w:hint="eastAsia"/>
          <w:color w:val="000000"/>
          <w:sz w:val="30"/>
          <w:szCs w:val="30"/>
        </w:rPr>
        <w:t>七、科创板股票</w:t>
      </w:r>
      <w:r>
        <w:rPr>
          <w:rFonts w:ascii="仿宋_GB2312" w:eastAsia="仿宋_GB2312" w:hAnsi="黑体" w:hint="eastAsia"/>
          <w:b/>
          <w:color w:val="000000"/>
          <w:sz w:val="30"/>
          <w:szCs w:val="30"/>
        </w:rPr>
        <w:t>可能主动终止上市，也</w:t>
      </w:r>
      <w:r>
        <w:rPr>
          <w:rFonts w:ascii="仿宋_GB2312" w:eastAsia="仿宋_GB2312" w:hAnsi="黑体" w:hint="eastAsia"/>
          <w:color w:val="000000"/>
          <w:sz w:val="30"/>
          <w:szCs w:val="30"/>
        </w:rPr>
        <w:t>可能因触及退市情形被终止上市。被实施退市风险警示的科创板股票，存在投资者当日通过竞价交易、大宗交易和盘后固定价格交易累计买入的单只股票数量不超过</w:t>
      </w:r>
      <w:r>
        <w:rPr>
          <w:rFonts w:ascii="仿宋_GB2312" w:eastAsia="仿宋_GB2312" w:hAnsi="黑体"/>
          <w:color w:val="000000"/>
          <w:sz w:val="30"/>
          <w:szCs w:val="30"/>
        </w:rPr>
        <w:t>50万股的限制。</w:t>
      </w:r>
      <w:r>
        <w:rPr>
          <w:rFonts w:ascii="仿宋_GB2312" w:eastAsia="仿宋_GB2312" w:hAnsi="黑体" w:hint="eastAsia"/>
          <w:b/>
          <w:color w:val="000000"/>
          <w:sz w:val="30"/>
          <w:szCs w:val="30"/>
        </w:rPr>
        <w:t>主动终止上市或</w:t>
      </w:r>
      <w:r>
        <w:rPr>
          <w:rFonts w:ascii="仿宋_GB2312" w:eastAsia="仿宋_GB2312" w:hAnsi="黑体"/>
          <w:color w:val="000000"/>
          <w:sz w:val="30"/>
          <w:szCs w:val="30"/>
        </w:rPr>
        <w:t>因触及交易类情形被终止上市的</w:t>
      </w:r>
      <w:r w:rsidRPr="004E1470">
        <w:rPr>
          <w:rFonts w:ascii="仿宋_GB2312" w:eastAsia="仿宋_GB2312" w:hAnsi="黑体"/>
          <w:strike/>
          <w:color w:val="000000"/>
          <w:sz w:val="30"/>
          <w:szCs w:val="30"/>
        </w:rPr>
        <w:t>科创板股票</w:t>
      </w:r>
      <w:r>
        <w:rPr>
          <w:rFonts w:ascii="仿宋_GB2312" w:eastAsia="仿宋_GB2312" w:hAnsi="黑体"/>
          <w:color w:val="000000"/>
          <w:sz w:val="30"/>
          <w:szCs w:val="30"/>
        </w:rPr>
        <w:t>，不进入退市整理期，</w:t>
      </w:r>
      <w:r>
        <w:rPr>
          <w:rFonts w:ascii="仿宋_GB2312" w:eastAsia="仿宋_GB2312" w:hAnsi="黑体"/>
          <w:strike/>
          <w:color w:val="000000"/>
          <w:sz w:val="30"/>
          <w:szCs w:val="30"/>
        </w:rPr>
        <w:t>上交所自上市公司公告股票终止上市决定之日起5个交易日内对其</w:t>
      </w:r>
      <w:r>
        <w:rPr>
          <w:rFonts w:ascii="仿宋_GB2312" w:eastAsia="仿宋_GB2312" w:hAnsi="黑体" w:hint="eastAsia"/>
          <w:b/>
          <w:bCs/>
          <w:color w:val="000000"/>
          <w:sz w:val="30"/>
          <w:szCs w:val="30"/>
        </w:rPr>
        <w:t>直接</w:t>
      </w:r>
      <w:r>
        <w:rPr>
          <w:rFonts w:ascii="仿宋_GB2312" w:eastAsia="仿宋_GB2312" w:hAnsi="黑体"/>
          <w:color w:val="000000"/>
          <w:sz w:val="30"/>
          <w:szCs w:val="30"/>
        </w:rPr>
        <w:t>予以摘牌；</w:t>
      </w:r>
      <w:r>
        <w:rPr>
          <w:rFonts w:ascii="仿宋_GB2312" w:eastAsia="仿宋_GB2312" w:hAnsi="黑体"/>
          <w:strike/>
          <w:color w:val="000000"/>
          <w:sz w:val="30"/>
          <w:szCs w:val="30"/>
        </w:rPr>
        <w:t>科创板股票</w:t>
      </w:r>
      <w:r>
        <w:rPr>
          <w:rFonts w:ascii="仿宋_GB2312" w:eastAsia="仿宋_GB2312" w:hAnsi="黑体"/>
          <w:color w:val="000000"/>
          <w:sz w:val="30"/>
          <w:szCs w:val="30"/>
        </w:rPr>
        <w:t>因触及重大违法类、财务类或者规范类情形被终止上市的，进入退市整理期交易15个交易日</w:t>
      </w:r>
      <w:r>
        <w:rPr>
          <w:rFonts w:ascii="仿宋_GB2312" w:eastAsia="仿宋_GB2312" w:hAnsi="黑体"/>
          <w:strike/>
          <w:color w:val="000000"/>
          <w:sz w:val="30"/>
          <w:szCs w:val="30"/>
        </w:rPr>
        <w:t>且首个交易日不设价格涨跌幅限制，上交所于该期限届满后5个交易日内对其</w:t>
      </w:r>
      <w:r>
        <w:rPr>
          <w:rFonts w:ascii="仿宋_GB2312" w:eastAsia="仿宋_GB2312" w:hAnsi="黑体" w:hint="eastAsia"/>
          <w:b/>
          <w:bCs/>
          <w:color w:val="000000"/>
          <w:sz w:val="30"/>
          <w:szCs w:val="30"/>
        </w:rPr>
        <w:t>后</w:t>
      </w:r>
      <w:r>
        <w:rPr>
          <w:rFonts w:ascii="仿宋_GB2312" w:eastAsia="仿宋_GB2312" w:hAnsi="黑体"/>
          <w:color w:val="000000"/>
          <w:sz w:val="30"/>
          <w:szCs w:val="30"/>
        </w:rPr>
        <w:t>予以摘牌。投资者应当充分了解</w:t>
      </w:r>
      <w:r>
        <w:rPr>
          <w:rFonts w:ascii="仿宋_GB2312" w:eastAsia="仿宋_GB2312" w:hAnsi="黑体"/>
          <w:strike/>
          <w:color w:val="000000"/>
          <w:sz w:val="30"/>
          <w:szCs w:val="30"/>
        </w:rPr>
        <w:t>科创板退市制度及</w:t>
      </w:r>
      <w:r>
        <w:rPr>
          <w:rFonts w:ascii="仿宋_GB2312" w:eastAsia="仿宋_GB2312" w:hAnsi="黑体"/>
          <w:color w:val="000000"/>
          <w:sz w:val="30"/>
          <w:szCs w:val="30"/>
        </w:rPr>
        <w:t>相关规定，密切关注</w:t>
      </w:r>
      <w:r>
        <w:rPr>
          <w:rFonts w:ascii="仿宋_GB2312" w:eastAsia="仿宋_GB2312" w:hAnsi="黑体"/>
          <w:strike/>
          <w:color w:val="000000"/>
          <w:sz w:val="30"/>
          <w:szCs w:val="30"/>
        </w:rPr>
        <w:t>科创板股票</w:t>
      </w:r>
      <w:r>
        <w:rPr>
          <w:rFonts w:ascii="仿宋_GB2312" w:eastAsia="仿宋_GB2312" w:hAnsi="黑体"/>
          <w:color w:val="000000"/>
          <w:sz w:val="30"/>
          <w:szCs w:val="30"/>
        </w:rPr>
        <w:t>退市</w:t>
      </w:r>
      <w:r>
        <w:rPr>
          <w:rFonts w:ascii="仿宋_GB2312" w:eastAsia="仿宋_GB2312" w:hAnsi="黑体"/>
          <w:strike/>
          <w:color w:val="000000"/>
          <w:sz w:val="30"/>
          <w:szCs w:val="30"/>
        </w:rPr>
        <w:t>相关</w:t>
      </w:r>
      <w:r>
        <w:rPr>
          <w:rFonts w:ascii="仿宋_GB2312" w:eastAsia="仿宋_GB2312" w:hAnsi="黑体"/>
          <w:color w:val="000000"/>
          <w:sz w:val="30"/>
          <w:szCs w:val="30"/>
        </w:rPr>
        <w:t>风险</w:t>
      </w:r>
      <w:r>
        <w:rPr>
          <w:rFonts w:ascii="仿宋_GB2312" w:eastAsia="仿宋_GB2312" w:hAnsi="黑体"/>
          <w:strike/>
          <w:color w:val="000000"/>
          <w:sz w:val="30"/>
          <w:szCs w:val="30"/>
        </w:rPr>
        <w:t>，及时从符合中国证监会规定条件的媒体等渠道获取相关信息</w:t>
      </w:r>
      <w:r>
        <w:rPr>
          <w:rFonts w:ascii="仿宋_GB2312" w:eastAsia="仿宋_GB2312" w:hAnsi="黑体"/>
          <w:color w:val="000000"/>
          <w:sz w:val="30"/>
          <w:szCs w:val="30"/>
        </w:rPr>
        <w:t>。</w:t>
      </w:r>
    </w:p>
    <w:p w:rsidR="00F96FB1" w:rsidRDefault="00D33884">
      <w:pPr>
        <w:spacing w:line="560" w:lineRule="exact"/>
        <w:rPr>
          <w:rFonts w:hAnsi="仿宋"/>
          <w:bCs/>
        </w:rPr>
      </w:pPr>
      <w:r>
        <w:rPr>
          <w:rFonts w:hAnsi="仿宋" w:hint="eastAsia"/>
          <w:bCs/>
        </w:rPr>
        <w:t>1.6</w:t>
      </w:r>
      <w:r>
        <w:rPr>
          <w:rFonts w:hAnsi="仿宋" w:hint="eastAsia"/>
          <w:b/>
        </w:rPr>
        <w:t>修改</w:t>
      </w:r>
      <w:r>
        <w:rPr>
          <w:rFonts w:hAnsi="仿宋" w:hint="eastAsia"/>
          <w:bCs/>
        </w:rPr>
        <w:t>第十一条：</w:t>
      </w:r>
    </w:p>
    <w:p w:rsidR="00F96FB1" w:rsidRDefault="00D33884">
      <w:pPr>
        <w:spacing w:line="560" w:lineRule="exact"/>
      </w:pPr>
      <w:r>
        <w:rPr>
          <w:rFonts w:hint="eastAsia"/>
        </w:rPr>
        <w:t>十一、科创板股票竞价交易</w:t>
      </w:r>
      <w:r>
        <w:rPr>
          <w:rFonts w:hint="eastAsia"/>
          <w:strike/>
        </w:rPr>
        <w:t>设置较宽</w:t>
      </w:r>
      <w:r>
        <w:rPr>
          <w:rFonts w:hint="eastAsia"/>
        </w:rPr>
        <w:t>的</w:t>
      </w:r>
      <w:r>
        <w:rPr>
          <w:rFonts w:hint="eastAsia"/>
          <w:b/>
        </w:rPr>
        <w:t>价格</w:t>
      </w:r>
      <w:r>
        <w:rPr>
          <w:rFonts w:hint="eastAsia"/>
        </w:rPr>
        <w:t>涨跌幅限制</w:t>
      </w:r>
      <w:r>
        <w:rPr>
          <w:rFonts w:hint="eastAsia"/>
          <w:b/>
        </w:rPr>
        <w:t>比例为20%</w:t>
      </w:r>
      <w:r>
        <w:rPr>
          <w:rFonts w:hint="eastAsia"/>
        </w:rPr>
        <w:t>，</w:t>
      </w:r>
      <w:r>
        <w:rPr>
          <w:rFonts w:hint="eastAsia"/>
          <w:b/>
        </w:rPr>
        <w:t>但在</w:t>
      </w:r>
      <w:r>
        <w:rPr>
          <w:rFonts w:hint="eastAsia"/>
        </w:rPr>
        <w:t>首次公开发行</w:t>
      </w:r>
      <w:r>
        <w:rPr>
          <w:rFonts w:hint="eastAsia"/>
          <w:strike/>
        </w:rPr>
        <w:t>上市的股票，</w:t>
      </w:r>
      <w:r>
        <w:rPr>
          <w:rFonts w:hint="eastAsia"/>
        </w:rPr>
        <w:t>上市后的前5个交易日</w:t>
      </w:r>
      <w:r>
        <w:rPr>
          <w:rFonts w:hint="eastAsia"/>
          <w:strike/>
        </w:rPr>
        <w:t>不设涨跌幅限制，其后涨跌幅限制为20%，</w:t>
      </w:r>
      <w:r>
        <w:rPr>
          <w:rFonts w:hint="eastAsia"/>
          <w:b/>
        </w:rPr>
        <w:t>、进入退市整理期的首日以及上交所认定的其他情形下不实行涨跌幅限制，</w:t>
      </w:r>
      <w:r>
        <w:rPr>
          <w:rFonts w:hint="eastAsia"/>
        </w:rPr>
        <w:t>投资者应当关注可能产生的股价波动的风险。</w:t>
      </w:r>
    </w:p>
    <w:p w:rsidR="00F96FB1" w:rsidRDefault="00D33884">
      <w:pPr>
        <w:numPr>
          <w:ilvl w:val="255"/>
          <w:numId w:val="0"/>
        </w:numPr>
        <w:spacing w:line="560" w:lineRule="exact"/>
        <w:ind w:firstLineChars="200" w:firstLine="600"/>
      </w:pPr>
      <w:r>
        <w:rPr>
          <w:rFonts w:hint="eastAsia"/>
        </w:rPr>
        <w:t>1.7</w:t>
      </w:r>
      <w:r>
        <w:rPr>
          <w:rFonts w:hint="eastAsia"/>
          <w:b/>
          <w:bCs/>
        </w:rPr>
        <w:t>新增</w:t>
      </w:r>
      <w:r>
        <w:rPr>
          <w:rFonts w:hint="eastAsia"/>
        </w:rPr>
        <w:t>第十二条，其后条款相应顺延：</w:t>
      </w:r>
    </w:p>
    <w:p w:rsidR="00F96FB1" w:rsidRDefault="004E1470">
      <w:pPr>
        <w:widowControl/>
        <w:spacing w:line="560" w:lineRule="exact"/>
        <w:jc w:val="left"/>
      </w:pPr>
      <w:r>
        <w:rPr>
          <w:rFonts w:hint="eastAsia"/>
        </w:rPr>
        <w:lastRenderedPageBreak/>
        <w:t>十二、</w:t>
      </w:r>
      <w:r w:rsidR="00D33884">
        <w:rPr>
          <w:rFonts w:hint="eastAsia"/>
        </w:rPr>
        <w:t>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rsidR="00F96FB1" w:rsidRDefault="00D33884">
      <w:pPr>
        <w:numPr>
          <w:ilvl w:val="255"/>
          <w:numId w:val="0"/>
        </w:numPr>
        <w:spacing w:line="560" w:lineRule="exact"/>
        <w:ind w:firstLineChars="200" w:firstLine="600"/>
      </w:pPr>
      <w:r>
        <w:rPr>
          <w:rFonts w:hint="eastAsia"/>
        </w:rPr>
        <w:t>1.8</w:t>
      </w:r>
      <w:r>
        <w:rPr>
          <w:rFonts w:hint="eastAsia"/>
          <w:b/>
          <w:bCs/>
        </w:rPr>
        <w:t>修改</w:t>
      </w:r>
      <w:r>
        <w:rPr>
          <w:rFonts w:hint="eastAsia"/>
        </w:rPr>
        <w:t>现第十三条（原第十二条）：</w:t>
      </w:r>
    </w:p>
    <w:p w:rsidR="00F96FB1" w:rsidRDefault="004E1470">
      <w:pPr>
        <w:numPr>
          <w:ilvl w:val="255"/>
          <w:numId w:val="0"/>
        </w:numPr>
        <w:spacing w:line="560" w:lineRule="exact"/>
        <w:ind w:firstLineChars="200" w:firstLine="600"/>
      </w:pPr>
      <w:r>
        <w:rPr>
          <w:rFonts w:hint="eastAsia"/>
        </w:rPr>
        <w:t>十三、</w:t>
      </w:r>
      <w:r w:rsidR="00D33884">
        <w:rPr>
          <w:rFonts w:hint="eastAsia"/>
        </w:rPr>
        <w:t>科创板</w:t>
      </w:r>
      <w:r w:rsidR="00D33884">
        <w:rPr>
          <w:rFonts w:hint="eastAsia"/>
          <w:b/>
        </w:rPr>
        <w:t>股票交易可以实行</w:t>
      </w:r>
      <w:r w:rsidR="00D33884">
        <w:rPr>
          <w:rFonts w:hint="eastAsia"/>
          <w:strike/>
        </w:rPr>
        <w:t>在条件成熟时将引入</w:t>
      </w:r>
      <w:r w:rsidR="00D33884">
        <w:rPr>
          <w:rFonts w:hint="eastAsia"/>
        </w:rPr>
        <w:t>做市商机制，</w:t>
      </w:r>
      <w:r w:rsidR="00D33884">
        <w:rPr>
          <w:rFonts w:hint="eastAsia"/>
          <w:b/>
        </w:rPr>
        <w:t>做市商可以为科创板股票提供双边报价服务，</w:t>
      </w:r>
      <w:r w:rsidR="00D33884">
        <w:rPr>
          <w:rFonts w:hint="eastAsia"/>
        </w:rPr>
        <w:t>请投资者及时关注相关事项。</w:t>
      </w:r>
    </w:p>
    <w:p w:rsidR="00F96FB1" w:rsidRDefault="00D33884">
      <w:pPr>
        <w:numPr>
          <w:ilvl w:val="255"/>
          <w:numId w:val="0"/>
        </w:numPr>
        <w:spacing w:line="560" w:lineRule="exact"/>
        <w:ind w:firstLineChars="200" w:firstLine="600"/>
      </w:pPr>
      <w:r>
        <w:rPr>
          <w:rFonts w:hint="eastAsia"/>
        </w:rPr>
        <w:t>1.9</w:t>
      </w:r>
      <w:r>
        <w:rPr>
          <w:rFonts w:hint="eastAsia"/>
          <w:b/>
          <w:bCs/>
        </w:rPr>
        <w:t>修改</w:t>
      </w:r>
      <w:r>
        <w:rPr>
          <w:rFonts w:hint="eastAsia"/>
        </w:rPr>
        <w:t>现第十四条（原第十三条）：</w:t>
      </w:r>
    </w:p>
    <w:p w:rsidR="00F96FB1" w:rsidRDefault="004E1470">
      <w:pPr>
        <w:widowControl/>
        <w:spacing w:line="560" w:lineRule="exact"/>
        <w:jc w:val="left"/>
      </w:pPr>
      <w:r>
        <w:rPr>
          <w:rFonts w:hint="eastAsia"/>
        </w:rPr>
        <w:t>十四、</w:t>
      </w:r>
      <w:r w:rsidR="00D33884">
        <w:rPr>
          <w:rFonts w:hint="eastAsia"/>
        </w:rPr>
        <w:t>投资者需关注科创板股票交易的单笔申报数量、</w:t>
      </w:r>
      <w:r w:rsidR="00D33884">
        <w:rPr>
          <w:rFonts w:hint="eastAsia"/>
          <w:strike/>
        </w:rPr>
        <w:t>最小价格变动单位、</w:t>
      </w:r>
      <w:r w:rsidR="00D33884">
        <w:rPr>
          <w:rFonts w:hint="eastAsia"/>
        </w:rPr>
        <w:t>有效申报价格范围等与上交所主板市场股票交易存在差异，避免产生无效申报。</w:t>
      </w:r>
    </w:p>
    <w:p w:rsidR="00F96FB1" w:rsidRDefault="00D33884">
      <w:pPr>
        <w:numPr>
          <w:ilvl w:val="255"/>
          <w:numId w:val="0"/>
        </w:numPr>
        <w:spacing w:line="560" w:lineRule="exact"/>
        <w:ind w:firstLineChars="200" w:firstLine="600"/>
      </w:pPr>
      <w:r>
        <w:rPr>
          <w:rFonts w:hint="eastAsia"/>
        </w:rPr>
        <w:t>1.10</w:t>
      </w:r>
      <w:r>
        <w:rPr>
          <w:rFonts w:hint="eastAsia"/>
          <w:b/>
          <w:bCs/>
        </w:rPr>
        <w:t>修改</w:t>
      </w:r>
      <w:r>
        <w:rPr>
          <w:rFonts w:hint="eastAsia"/>
        </w:rPr>
        <w:t>现第十六条（原第十五条）：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十六、科创板股票上市首日即可作为融资融券标的，</w:t>
      </w:r>
      <w:r>
        <w:rPr>
          <w:rFonts w:ascii="仿宋_GB2312" w:eastAsia="仿宋_GB2312" w:hint="eastAsia"/>
          <w:strike/>
          <w:sz w:val="30"/>
          <w:szCs w:val="30"/>
        </w:rPr>
        <w:t>与上交所主板市场存在差异，</w:t>
      </w:r>
      <w:r>
        <w:rPr>
          <w:rFonts w:ascii="仿宋_GB2312" w:eastAsia="仿宋_GB2312" w:hint="eastAsia"/>
          <w:sz w:val="30"/>
          <w:szCs w:val="30"/>
        </w:rPr>
        <w:t>投资者应注意相关风险。</w:t>
      </w:r>
    </w:p>
    <w:p w:rsidR="00F96FB1" w:rsidRDefault="00D33884">
      <w:pPr>
        <w:numPr>
          <w:ilvl w:val="255"/>
          <w:numId w:val="0"/>
        </w:numPr>
        <w:spacing w:line="560" w:lineRule="exact"/>
        <w:ind w:firstLineChars="200" w:firstLine="600"/>
      </w:pPr>
      <w:r>
        <w:rPr>
          <w:rFonts w:hint="eastAsia"/>
        </w:rPr>
        <w:t>1.11</w:t>
      </w:r>
      <w:r>
        <w:rPr>
          <w:rFonts w:hint="eastAsia"/>
          <w:b/>
          <w:bCs/>
        </w:rPr>
        <w:t>修改</w:t>
      </w:r>
      <w:r>
        <w:rPr>
          <w:rFonts w:hint="eastAsia"/>
        </w:rPr>
        <w:t>现第十七条（原第十六条）：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十七、科创板股票</w:t>
      </w:r>
      <w:r>
        <w:rPr>
          <w:rFonts w:ascii="仿宋_GB2312" w:eastAsia="仿宋_GB2312" w:hint="eastAsia"/>
          <w:strike/>
          <w:sz w:val="30"/>
          <w:szCs w:val="30"/>
        </w:rPr>
        <w:t>交易</w:t>
      </w:r>
      <w:r>
        <w:rPr>
          <w:rFonts w:eastAsia="仿宋_GB2312" w:hint="eastAsia"/>
          <w:strike/>
          <w:color w:val="000000"/>
          <w:sz w:val="30"/>
          <w:szCs w:val="30"/>
        </w:rPr>
        <w:t>盘中临时停牌情形和严重异常波动股票核查制度</w:t>
      </w:r>
      <w:r>
        <w:rPr>
          <w:rFonts w:eastAsia="仿宋_GB2312" w:hint="eastAsia"/>
          <w:b/>
          <w:color w:val="000000"/>
          <w:sz w:val="30"/>
          <w:szCs w:val="30"/>
        </w:rPr>
        <w:t>的交易公开信息披露指标及异常波动情形、严重异常波动情形披露指标</w:t>
      </w:r>
      <w:r>
        <w:rPr>
          <w:rFonts w:eastAsia="仿宋_GB2312" w:hint="eastAsia"/>
          <w:color w:val="000000"/>
          <w:sz w:val="30"/>
          <w:szCs w:val="30"/>
        </w:rPr>
        <w:t>与上交所主板市场规定不同，</w:t>
      </w:r>
      <w:r>
        <w:rPr>
          <w:rFonts w:ascii="仿宋_GB2312" w:eastAsia="仿宋_GB2312" w:hint="eastAsia"/>
          <w:sz w:val="30"/>
          <w:szCs w:val="30"/>
        </w:rPr>
        <w:t>投资者应当关注与此相关的风险。</w:t>
      </w:r>
    </w:p>
    <w:p w:rsidR="00F96FB1" w:rsidRDefault="00D33884">
      <w:pPr>
        <w:numPr>
          <w:ilvl w:val="255"/>
          <w:numId w:val="0"/>
        </w:numPr>
        <w:spacing w:line="560" w:lineRule="exact"/>
        <w:ind w:firstLineChars="200" w:firstLine="600"/>
      </w:pPr>
      <w:r>
        <w:rPr>
          <w:rFonts w:hint="eastAsia"/>
        </w:rPr>
        <w:t>1.12</w:t>
      </w:r>
      <w:r>
        <w:rPr>
          <w:rFonts w:hint="eastAsia"/>
          <w:b/>
          <w:bCs/>
        </w:rPr>
        <w:t>修改</w:t>
      </w:r>
      <w:r>
        <w:rPr>
          <w:rFonts w:hint="eastAsia"/>
        </w:rPr>
        <w:t>现第十八条（原第十七条）：</w:t>
      </w:r>
    </w:p>
    <w:p w:rsidR="00F96FB1" w:rsidRDefault="00D33884">
      <w:pPr>
        <w:pStyle w:val="af"/>
        <w:spacing w:line="560" w:lineRule="exact"/>
        <w:ind w:firstLine="600"/>
        <w:rPr>
          <w:rFonts w:eastAsia="仿宋_GB2312"/>
          <w:color w:val="000000"/>
          <w:sz w:val="30"/>
          <w:szCs w:val="30"/>
        </w:rPr>
      </w:pPr>
      <w:r>
        <w:rPr>
          <w:rFonts w:eastAsia="仿宋_GB2312" w:hint="eastAsia"/>
          <w:color w:val="000000"/>
          <w:sz w:val="30"/>
          <w:szCs w:val="30"/>
        </w:rPr>
        <w:t>十八、符合相关规定的红筹企业可以在科创板上市。红筹企</w:t>
      </w:r>
      <w:r>
        <w:rPr>
          <w:rFonts w:eastAsia="仿宋_GB2312" w:hint="eastAsia"/>
          <w:color w:val="000000"/>
          <w:sz w:val="30"/>
          <w:szCs w:val="30"/>
        </w:rPr>
        <w:lastRenderedPageBreak/>
        <w:t>业在境外注册，可能采用协议控制架构，在</w:t>
      </w:r>
      <w:r>
        <w:rPr>
          <w:rFonts w:eastAsia="仿宋_GB2312" w:hint="eastAsia"/>
          <w:b/>
          <w:color w:val="000000"/>
          <w:sz w:val="30"/>
          <w:szCs w:val="30"/>
        </w:rPr>
        <w:t>上市标准、</w:t>
      </w:r>
      <w:r>
        <w:rPr>
          <w:rFonts w:eastAsia="仿宋_GB2312" w:hint="eastAsia"/>
          <w:color w:val="000000"/>
          <w:sz w:val="30"/>
          <w:szCs w:val="30"/>
        </w:rPr>
        <w:t>信息披露、分红派息</w:t>
      </w:r>
      <w:r>
        <w:rPr>
          <w:rFonts w:eastAsia="仿宋_GB2312" w:hint="eastAsia"/>
          <w:b/>
          <w:color w:val="000000"/>
          <w:sz w:val="30"/>
          <w:szCs w:val="30"/>
        </w:rPr>
        <w:t>、退市标准</w:t>
      </w:r>
      <w:r>
        <w:rPr>
          <w:rFonts w:eastAsia="仿宋_GB2312" w:hint="eastAsia"/>
          <w:color w:val="000000"/>
          <w:sz w:val="30"/>
          <w:szCs w:val="30"/>
        </w:rPr>
        <w:t>等方面可能与境内上市公司存在差异。</w:t>
      </w:r>
      <w:r>
        <w:rPr>
          <w:rFonts w:ascii="仿宋_GB2312" w:eastAsia="仿宋_GB2312" w:hint="eastAsia"/>
          <w:sz w:val="30"/>
          <w:szCs w:val="30"/>
        </w:rPr>
        <w:t>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注册地、境外上市地等地法律法规对当地投资者提供的保护,可能与境内法律为境内投资者提供的保护存在差异。</w:t>
      </w:r>
    </w:p>
    <w:p w:rsidR="00F96FB1" w:rsidRDefault="00D33884">
      <w:pPr>
        <w:numPr>
          <w:ilvl w:val="255"/>
          <w:numId w:val="0"/>
        </w:numPr>
        <w:spacing w:line="560" w:lineRule="exact"/>
        <w:ind w:firstLineChars="150" w:firstLine="450"/>
      </w:pPr>
      <w:r>
        <w:rPr>
          <w:rFonts w:hint="eastAsia"/>
        </w:rPr>
        <w:t xml:space="preserve"> 1.13</w:t>
      </w:r>
      <w:r>
        <w:rPr>
          <w:rFonts w:hint="eastAsia"/>
          <w:b/>
          <w:bCs/>
        </w:rPr>
        <w:t>修改</w:t>
      </w:r>
      <w:r>
        <w:rPr>
          <w:rFonts w:hint="eastAsia"/>
        </w:rPr>
        <w:t>现第十九条（原第十八条）：</w:t>
      </w:r>
    </w:p>
    <w:p w:rsidR="00F96FB1" w:rsidRDefault="00D33884">
      <w:pPr>
        <w:pStyle w:val="af"/>
        <w:spacing w:line="560" w:lineRule="exact"/>
        <w:ind w:firstLine="600"/>
        <w:rPr>
          <w:rFonts w:ascii="仿宋_GB2312" w:eastAsia="仿宋_GB2312"/>
          <w:sz w:val="30"/>
          <w:szCs w:val="30"/>
        </w:rPr>
      </w:pPr>
      <w:r>
        <w:rPr>
          <w:rFonts w:ascii="仿宋_GB2312" w:eastAsia="仿宋_GB2312" w:hint="eastAsia"/>
          <w:sz w:val="30"/>
          <w:szCs w:val="30"/>
        </w:rPr>
        <w:t>十九、</w:t>
      </w:r>
      <w:r>
        <w:rPr>
          <w:rFonts w:eastAsia="仿宋_GB2312" w:hint="eastAsia"/>
          <w:color w:val="000000"/>
          <w:sz w:val="30"/>
          <w:szCs w:val="30"/>
        </w:rPr>
        <w:t>红筹企业可以发行股票或存托凭证在科创板上市。</w:t>
      </w:r>
      <w:r>
        <w:rPr>
          <w:rFonts w:ascii="仿宋_GB2312" w:eastAsia="仿宋_GB2312" w:hint="eastAsia"/>
          <w:sz w:val="30"/>
          <w:szCs w:val="30"/>
        </w:rPr>
        <w:t>存托凭证由存托人签发、以境外证券为基础在中国境内发行,代表境外基础证券权益。红筹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存托凭证持有人实际享有的权益与境外基础证券持有人的权益虽然基本相当,但并不能等同于直接持有境外基础证券。</w:t>
      </w:r>
      <w:r>
        <w:rPr>
          <w:rFonts w:eastAsia="仿宋_GB2312" w:hint="eastAsia"/>
          <w:color w:val="000000"/>
          <w:sz w:val="30"/>
          <w:szCs w:val="30"/>
        </w:rPr>
        <w:t>投资者</w:t>
      </w:r>
      <w:r>
        <w:rPr>
          <w:rFonts w:ascii="仿宋_GB2312" w:eastAsia="仿宋_GB2312" w:hint="eastAsia"/>
          <w:sz w:val="30"/>
          <w:szCs w:val="30"/>
        </w:rPr>
        <w:t>应当充分知悉存托协议和相关规则的具体内容，</w:t>
      </w:r>
      <w:r>
        <w:rPr>
          <w:rFonts w:ascii="仿宋_GB2312" w:eastAsia="仿宋_GB2312" w:hint="eastAsia"/>
          <w:strike/>
          <w:sz w:val="30"/>
          <w:szCs w:val="30"/>
        </w:rPr>
        <w:t>了解并接受在</w:t>
      </w:r>
      <w:r>
        <w:rPr>
          <w:rFonts w:ascii="仿宋_GB2312" w:eastAsia="仿宋_GB2312" w:hint="eastAsia"/>
          <w:b/>
          <w:sz w:val="30"/>
          <w:szCs w:val="30"/>
        </w:rPr>
        <w:t>关注</w:t>
      </w:r>
      <w:r>
        <w:rPr>
          <w:rFonts w:ascii="仿宋_GB2312" w:eastAsia="仿宋_GB2312" w:hint="eastAsia"/>
          <w:sz w:val="30"/>
          <w:szCs w:val="30"/>
        </w:rPr>
        <w:t>交易和持有红筹</w:t>
      </w:r>
      <w:r>
        <w:rPr>
          <w:rFonts w:ascii="仿宋_GB2312" w:eastAsia="仿宋_GB2312" w:hint="eastAsia"/>
          <w:strike/>
          <w:sz w:val="30"/>
          <w:szCs w:val="30"/>
        </w:rPr>
        <w:t>公司</w:t>
      </w:r>
      <w:r>
        <w:rPr>
          <w:rFonts w:ascii="仿宋_GB2312" w:eastAsia="仿宋_GB2312" w:hint="eastAsia"/>
          <w:b/>
          <w:sz w:val="30"/>
          <w:szCs w:val="30"/>
        </w:rPr>
        <w:t>企业</w:t>
      </w:r>
      <w:r>
        <w:rPr>
          <w:rFonts w:ascii="仿宋_GB2312" w:eastAsia="仿宋_GB2312" w:hint="eastAsia"/>
          <w:sz w:val="30"/>
          <w:szCs w:val="30"/>
        </w:rPr>
        <w:t>股票或存托凭证过程中可能存在的风险。</w:t>
      </w:r>
      <w:r>
        <w:rPr>
          <w:color w:val="000000"/>
          <w:sz w:val="24"/>
        </w:rPr>
        <w:br w:type="page"/>
      </w:r>
    </w:p>
    <w:p w:rsidR="00F96FB1" w:rsidRDefault="00D33884">
      <w:pPr>
        <w:pStyle w:val="2"/>
        <w:rPr>
          <w:sz w:val="36"/>
          <w:szCs w:val="36"/>
        </w:rPr>
      </w:pPr>
      <w:bookmarkStart w:id="28" w:name="_Toc117606497"/>
      <w:r>
        <w:rPr>
          <w:sz w:val="36"/>
          <w:szCs w:val="36"/>
        </w:rPr>
        <w:lastRenderedPageBreak/>
        <w:t>1.</w:t>
      </w:r>
      <w:r>
        <w:rPr>
          <w:rFonts w:hint="eastAsia"/>
          <w:sz w:val="36"/>
          <w:szCs w:val="36"/>
        </w:rPr>
        <w:t>5</w:t>
      </w:r>
      <w:r>
        <w:rPr>
          <w:sz w:val="36"/>
          <w:szCs w:val="36"/>
        </w:rPr>
        <w:t xml:space="preserve"> </w:t>
      </w:r>
      <w:r>
        <w:rPr>
          <w:rFonts w:hint="eastAsia"/>
          <w:sz w:val="36"/>
          <w:szCs w:val="36"/>
        </w:rPr>
        <w:t>上海证券交易所试点创新企业股票或存托凭证投资者风险揭示书必备条款</w:t>
      </w:r>
      <w:bookmarkEnd w:id="28"/>
    </w:p>
    <w:p w:rsidR="00F96FB1" w:rsidRDefault="00D33884">
      <w:pPr>
        <w:tabs>
          <w:tab w:val="center" w:pos="4453"/>
          <w:tab w:val="left" w:pos="7537"/>
        </w:tabs>
        <w:spacing w:line="360" w:lineRule="auto"/>
        <w:ind w:firstLine="480"/>
        <w:jc w:val="left"/>
        <w:rPr>
          <w:color w:val="000000"/>
          <w:sz w:val="24"/>
          <w:szCs w:val="24"/>
        </w:rPr>
      </w:pPr>
      <w:r>
        <w:rPr>
          <w:sz w:val="24"/>
          <w:szCs w:val="24"/>
        </w:rPr>
        <w:tab/>
      </w:r>
      <w:r>
        <w:rPr>
          <w:rFonts w:hint="eastAsia"/>
          <w:sz w:val="24"/>
          <w:szCs w:val="24"/>
        </w:rPr>
        <w:t>（2018年6月15日发布）</w:t>
      </w:r>
      <w:r>
        <w:rPr>
          <w:sz w:val="24"/>
          <w:szCs w:val="24"/>
        </w:rPr>
        <w:tab/>
      </w:r>
    </w:p>
    <w:p w:rsidR="00F96FB1" w:rsidRDefault="00F96FB1">
      <w:pPr>
        <w:autoSpaceDE w:val="0"/>
        <w:autoSpaceDN w:val="0"/>
        <w:adjustRightInd w:val="0"/>
        <w:spacing w:line="360" w:lineRule="auto"/>
        <w:ind w:firstLine="480"/>
        <w:rPr>
          <w:rFonts w:cs="黑体"/>
          <w:sz w:val="24"/>
          <w:szCs w:val="24"/>
        </w:rPr>
      </w:pP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rsidR="00F96FB1" w:rsidRDefault="00D33884">
      <w:pPr>
        <w:spacing w:line="360" w:lineRule="auto"/>
        <w:ind w:firstLine="602"/>
        <w:rPr>
          <w:rFonts w:ascii="黑体" w:eastAsia="黑体" w:hAnsi="黑体"/>
          <w:b/>
        </w:rPr>
      </w:pPr>
      <w:r>
        <w:rPr>
          <w:rFonts w:ascii="黑体" w:eastAsia="黑体" w:hAnsi="黑体" w:hint="eastAsia"/>
          <w:b/>
        </w:rPr>
        <w:t>一、与创新企业发行相关的风险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（一）创新企业可能存在首次公开发行前最近3个会计年度未能连续盈利、公开发行并上市时尚未盈利、有累计未弥补亏损等情形，可能存在上市后仍无法盈利、持续亏损、无法进行利润分配、退市的情形。</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（二）创新企业证券首次公开发行的价格可能高于公司每股净资产账面值，或者高于公司在境外其他市场公开发行的股票或者存托凭证的发行价格或者二级市场交易价格。</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lastRenderedPageBreak/>
        <w:t>（三）创新企业发行上市时可能具有尚未实施完毕的股权激励项目，可能导致企业实际上市交易的证券数量超过首次公开发行时的数量。</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（四）红筹公司可能因不符合境内关于上市公司配股的相关规定无法向境内投资者实施配股，投资者的权益可能受到影响。</w:t>
      </w:r>
    </w:p>
    <w:p w:rsidR="00F96FB1" w:rsidRDefault="00D33884">
      <w:pPr>
        <w:spacing w:line="360" w:lineRule="auto"/>
        <w:ind w:firstLine="602"/>
        <w:rPr>
          <w:rFonts w:ascii="黑体" w:eastAsia="黑体" w:hAnsi="黑体"/>
          <w:b/>
        </w:rPr>
      </w:pPr>
      <w:r>
        <w:rPr>
          <w:rFonts w:ascii="黑体" w:eastAsia="黑体" w:hAnsi="黑体" w:hint="eastAsia"/>
          <w:b/>
        </w:rPr>
        <w:t>二、与公司业务相关的风险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（五）创新企业所处行业往往具有投入大、迭代快、风险高、易被颠覆等特点，可能因重大技术、产品、经营模式、相关政策变化而出现经营风险。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（六）创新企业可能尚处于初步发展阶段，具有研发投入规模大、盈利周期较长等特点，企业持续创新能力、主营业务发展可持续性、公司收入及盈利水平等具有较大不确定性。</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rsidR="00F96FB1" w:rsidRDefault="00D33884">
      <w:pPr>
        <w:spacing w:line="360" w:lineRule="auto"/>
        <w:ind w:firstLine="602"/>
        <w:rPr>
          <w:rFonts w:ascii="黑体" w:eastAsia="黑体" w:hAnsi="黑体"/>
          <w:b/>
        </w:rPr>
      </w:pPr>
      <w:r>
        <w:rPr>
          <w:rFonts w:ascii="黑体" w:eastAsia="黑体" w:hAnsi="黑体" w:hint="eastAsia"/>
          <w:b/>
        </w:rPr>
        <w:t>三、与境外发行人相关的风险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w:t>
      </w:r>
      <w:r>
        <w:rPr>
          <w:rFonts w:ascii="仿宋_GB2312" w:eastAsia="仿宋_GB2312" w:hint="eastAsia"/>
          <w:sz w:val="30"/>
          <w:szCs w:val="30"/>
        </w:rPr>
        <w:lastRenderedPageBreak/>
        <w:t>托凭证持有人享有的权益还可能受境外法律变化影响。</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九）红筹公司股票类别、股东权利、股东大会、董事会、董事及高级管理人员的设置及权限、股东大会或者董事会的决议程序、公司利润分配政策、反收购措施安排等事项，可能与境内上市公司治理结构存在较大差异，投资者权利及其行使可能受到不同程度的限制。</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（十一）红筹公司如果设置投票权差异安排，每份特殊投票权股份享有的投票权是每份普通投票权股份的数倍，红筹公司普通投资者的投票权利与境内上市公司股东权利存在较大差异。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（十二）红筹公司如果采用协议控制架构，可能由于法律、政策变化带来合规、经营等风险，可能面临对境内实体运营企业重大依赖、协议控制架构下相关主体违约等风险。</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w:t>
      </w:r>
      <w:r>
        <w:rPr>
          <w:rFonts w:ascii="仿宋_GB2312" w:eastAsia="仿宋_GB2312" w:hint="eastAsia"/>
          <w:sz w:val="30"/>
          <w:szCs w:val="30"/>
        </w:rPr>
        <w:lastRenderedPageBreak/>
        <w:t>点也与境内上市公司有所差异。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（十五）红筹公司在境内市场发布的信息披露文件须使用中文，但公司注册文件、其他法律文件可能使用其他语言，投资者可能面临阅读和理解困难。</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（十六）红筹公司可能仅在境内市场发行并上市较小规模的股票或者存托凭证，公司大部分或者绝大部分的表决权由境外股东等持有，境内投资者可能无法实际参与公司重大事务的决策。</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（十八）红筹公司分红派息等可能因注册地法律制度和相关政策，被征收相关税费，使投资回报受到一定影响。投资者需要仔细阅读公司披露的文件，了解税费事项及征收途径。</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（十九）红筹公司存托凭证的境内投资者可以依据境内《证</w:t>
      </w:r>
      <w:r>
        <w:rPr>
          <w:rFonts w:ascii="仿宋_GB2312" w:eastAsia="仿宋_GB2312" w:hint="eastAsia"/>
          <w:sz w:val="30"/>
          <w:szCs w:val="30"/>
        </w:rPr>
        <w:lastRenderedPageBreak/>
        <w:t xml:space="preserve">券法》提起证券诉讼，但境内投资者无法直接作为红筹公司境外注册地或者境外上市地的投资者，依据当地法律制度提起证券诉讼。 </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rsidR="00F96FB1" w:rsidRDefault="00D33884">
      <w:pPr>
        <w:spacing w:line="360" w:lineRule="auto"/>
        <w:ind w:firstLine="602"/>
        <w:rPr>
          <w:rFonts w:ascii="黑体" w:eastAsia="黑体" w:hAnsi="黑体"/>
          <w:b/>
        </w:rPr>
      </w:pPr>
      <w:r>
        <w:rPr>
          <w:rFonts w:ascii="黑体" w:eastAsia="黑体" w:hAnsi="黑体" w:hint="eastAsia"/>
          <w:b/>
        </w:rPr>
        <w:t>四、与存托凭证相关的风险</w:t>
      </w:r>
    </w:p>
    <w:p w:rsidR="00F96FB1" w:rsidRDefault="00D33884">
      <w:pPr>
        <w:autoSpaceDE w:val="0"/>
        <w:autoSpaceDN w:val="0"/>
        <w:adjustRightInd w:val="0"/>
        <w:spacing w:line="360" w:lineRule="auto"/>
        <w:rPr>
          <w:color w:val="000000"/>
        </w:rPr>
      </w:pPr>
      <w:r>
        <w:rPr>
          <w:rFonts w:hint="eastAsia"/>
        </w:rPr>
        <w:t>（二十一）存托凭证是我国资本市场的一个全新证券品种，</w:t>
      </w:r>
      <w:r>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rsidR="00F96FB1" w:rsidRDefault="00D33884">
      <w:pPr>
        <w:spacing w:line="360" w:lineRule="auto"/>
      </w:pPr>
      <w:r>
        <w:rPr>
          <w:rFonts w:hint="eastAsia"/>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w:t>
      </w:r>
      <w:r>
        <w:rPr>
          <w:rFonts w:hint="eastAsia"/>
        </w:rPr>
        <w:lastRenderedPageBreak/>
        <w:t>独要求红筹公司或者存托人对存托协议作出额外修改。</w:t>
      </w:r>
    </w:p>
    <w:p w:rsidR="00F96FB1" w:rsidRDefault="00D33884">
      <w:pPr>
        <w:spacing w:line="360" w:lineRule="auto"/>
      </w:pPr>
      <w:r>
        <w:rPr>
          <w:rFonts w:hint="eastAsia"/>
        </w:rPr>
        <w:t>（二十三）持有红筹公司存托凭证的投资者，不是红筹公司登记在册的股东，不能以股东身份直接行使股东权利；投资者仅能根据存托协议的约定，通过存托人享有并行使分红、投票等权利。</w:t>
      </w:r>
    </w:p>
    <w:p w:rsidR="00F96FB1" w:rsidRDefault="00D33884">
      <w:pPr>
        <w:spacing w:line="360" w:lineRule="auto"/>
      </w:pPr>
      <w:r>
        <w:rPr>
          <w:rFonts w:hint="eastAsia"/>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rsidR="00F96FB1" w:rsidRDefault="00D33884">
      <w:pPr>
        <w:spacing w:line="360" w:lineRule="auto"/>
      </w:pPr>
      <w:r>
        <w:rPr>
          <w:rFonts w:hint="eastAsia"/>
        </w:rPr>
        <w:t>（二十五）存托凭证存续期间，对应的基础证券等财产可能出现被质押、挪用、司法冻结、强制执行等情形，投资者可能存在失去应有权利的风险。</w:t>
      </w:r>
    </w:p>
    <w:p w:rsidR="00F96FB1" w:rsidRDefault="00D33884">
      <w:pPr>
        <w:autoSpaceDE w:val="0"/>
        <w:autoSpaceDN w:val="0"/>
        <w:adjustRightInd w:val="0"/>
        <w:spacing w:line="360" w:lineRule="auto"/>
      </w:pPr>
      <w:r>
        <w:rPr>
          <w:rFonts w:hint="eastAsia"/>
        </w:rPr>
        <w:t>（二十六）</w:t>
      </w:r>
      <w:r>
        <w:rPr>
          <w:rFonts w:hint="eastAsia"/>
          <w:color w:val="000000"/>
        </w:rPr>
        <w:t>存托人可能向存托凭证持有人收取存托凭证相关费用，投资者应当充分了解存托凭证的相关收费项目和标准。</w:t>
      </w:r>
    </w:p>
    <w:p w:rsidR="00F96FB1" w:rsidRDefault="00D33884">
      <w:pPr>
        <w:spacing w:line="360" w:lineRule="auto"/>
      </w:pPr>
      <w:r>
        <w:rPr>
          <w:rFonts w:hint="eastAsia"/>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rsidR="00F96FB1" w:rsidRDefault="00D33884">
      <w:pPr>
        <w:spacing w:line="360" w:lineRule="auto"/>
        <w:ind w:firstLine="602"/>
        <w:rPr>
          <w:rFonts w:ascii="黑体" w:eastAsia="黑体" w:hAnsi="黑体"/>
          <w:b/>
        </w:rPr>
      </w:pPr>
      <w:r>
        <w:rPr>
          <w:rFonts w:ascii="黑体" w:eastAsia="黑体" w:hAnsi="黑体" w:hint="eastAsia"/>
          <w:b/>
        </w:rPr>
        <w:t>五、与创新企业证券交易机制相关的风险</w:t>
      </w:r>
    </w:p>
    <w:p w:rsidR="00F96FB1" w:rsidRDefault="00D33884">
      <w:pPr>
        <w:spacing w:line="360" w:lineRule="auto"/>
      </w:pPr>
      <w:r>
        <w:rPr>
          <w:rFonts w:hint="eastAsia"/>
        </w:rPr>
        <w:t>（二十八）创新企业证券同时或者先后在境内外上市的，由于时差和交易制度的差异，境内外市场的交易时间可能无法保持</w:t>
      </w:r>
      <w:r>
        <w:rPr>
          <w:rFonts w:hint="eastAsia"/>
        </w:rPr>
        <w:lastRenderedPageBreak/>
        <w:t>一致。境内证券的交易价格可能受到境外市场开盘价或者收盘价的影响，从而出现大幅波动。</w:t>
      </w:r>
    </w:p>
    <w:p w:rsidR="00F96FB1" w:rsidRDefault="00D33884">
      <w:pPr>
        <w:spacing w:line="360" w:lineRule="auto"/>
      </w:pPr>
      <w:r>
        <w:rPr>
          <w:rFonts w:hint="eastAsia"/>
        </w:rPr>
        <w:t>（二十九）境内外市场证券停复牌制度存在差异，红筹公司境内外上市的股票或者存托凭证可能出现在一个市场正常交易而在另一个市场实施停牌等现象。</w:t>
      </w:r>
    </w:p>
    <w:p w:rsidR="00F96FB1" w:rsidRDefault="00D33884">
      <w:pPr>
        <w:spacing w:line="360" w:lineRule="auto"/>
      </w:pPr>
      <w:r>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rsidR="00F96FB1" w:rsidRDefault="00D33884">
      <w:pPr>
        <w:spacing w:line="360" w:lineRule="auto"/>
      </w:pPr>
      <w:r>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rsidR="00F96FB1" w:rsidRDefault="00D33884">
      <w:pPr>
        <w:spacing w:line="360" w:lineRule="auto"/>
      </w:pPr>
      <w:r>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rsidR="00F96FB1" w:rsidRDefault="00D33884">
      <w:pPr>
        <w:spacing w:line="360" w:lineRule="auto"/>
      </w:pPr>
      <w:r>
        <w:rPr>
          <w:rFonts w:hint="eastAsia"/>
        </w:rPr>
        <w:t>（三十三）投资者持有的红筹公司境内发行的证券，暂不允许转换为公司在境外发行的相同类别的股票或者存托凭证；投资者持有境内发行的存托凭证，暂不允许转换为境外基础证券。</w:t>
      </w:r>
    </w:p>
    <w:p w:rsidR="00F96FB1" w:rsidRDefault="00D33884">
      <w:pPr>
        <w:spacing w:line="360" w:lineRule="auto"/>
      </w:pPr>
      <w:r>
        <w:rPr>
          <w:rFonts w:hint="eastAsia"/>
        </w:rPr>
        <w:t>（三十四）创新企业证券可能适用差异化的暂停上市、终止上市指标以及退市后相关安排，如相关会计年度从上市后首个完</w:t>
      </w:r>
      <w:r>
        <w:rPr>
          <w:rFonts w:hint="eastAsia"/>
        </w:rPr>
        <w:lastRenderedPageBreak/>
        <w:t>整会计年度起算等。</w:t>
      </w:r>
    </w:p>
    <w:p w:rsidR="00F96FB1" w:rsidRDefault="00D33884">
      <w:pPr>
        <w:spacing w:line="360" w:lineRule="auto"/>
      </w:pPr>
      <w:r>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rsidR="00F96FB1" w:rsidRDefault="00D33884">
      <w:pPr>
        <w:spacing w:line="360" w:lineRule="auto"/>
        <w:rPr>
          <w:color w:val="000000"/>
        </w:rPr>
      </w:pPr>
      <w:r>
        <w:rPr>
          <w:rFonts w:hint="eastAsia"/>
        </w:rPr>
        <w:t>（三十六）除常规风险提示，《</w:t>
      </w:r>
      <w:r>
        <w:rPr>
          <w:rFonts w:hint="eastAsia"/>
          <w:color w:val="000000"/>
        </w:rPr>
        <w:t>风险揭示书》还应当以醒目的文字载明：</w:t>
      </w:r>
    </w:p>
    <w:p w:rsidR="00F96FB1" w:rsidRDefault="00D33884">
      <w:pPr>
        <w:spacing w:line="360" w:lineRule="auto"/>
        <w:rPr>
          <w:rFonts w:ascii="宋体" w:eastAsia="宋体" w:hAnsi="宋体"/>
          <w:b/>
        </w:rPr>
      </w:pPr>
      <w:r>
        <w:rPr>
          <w:rFonts w:hint="eastAsia"/>
          <w:color w:val="000000"/>
        </w:rPr>
        <w:t>创新企业证券在发行、上市、交易、信息披露等方面所适用的法律规则与普通公司A股存在一定差别。</w:t>
      </w:r>
      <w:r>
        <w:rPr>
          <w:rFonts w:hAnsi="宋体" w:cs="宋体" w:hint="eastAsia"/>
        </w:rPr>
        <w:t>投资者在参与创新企业证券交易前，</w:t>
      </w:r>
      <w:r>
        <w:rPr>
          <w:rFonts w:hint="eastAsia"/>
          <w:color w:val="000000"/>
        </w:rPr>
        <w:t>应当认真阅读《</w:t>
      </w:r>
      <w:r>
        <w:rPr>
          <w:rFonts w:hint="eastAsia"/>
        </w:rPr>
        <w:t>关于开展创新企业境内发行股票或存托</w:t>
      </w:r>
      <w:r>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rsidR="00F96FB1" w:rsidRDefault="00D33884">
      <w:pPr>
        <w:pStyle w:val="2"/>
        <w:rPr>
          <w:sz w:val="36"/>
          <w:szCs w:val="36"/>
        </w:rPr>
      </w:pPr>
      <w:r>
        <w:rPr>
          <w:sz w:val="36"/>
          <w:szCs w:val="36"/>
        </w:rPr>
        <w:br w:type="page"/>
      </w:r>
      <w:bookmarkStart w:id="29" w:name="_Toc117606498"/>
      <w:r>
        <w:rPr>
          <w:sz w:val="36"/>
          <w:szCs w:val="36"/>
        </w:rPr>
        <w:lastRenderedPageBreak/>
        <w:t>1.</w:t>
      </w:r>
      <w:r>
        <w:rPr>
          <w:rFonts w:hint="eastAsia"/>
          <w:sz w:val="36"/>
          <w:szCs w:val="36"/>
        </w:rPr>
        <w:t>6</w:t>
      </w:r>
      <w:r>
        <w:rPr>
          <w:sz w:val="36"/>
          <w:szCs w:val="36"/>
        </w:rPr>
        <w:t xml:space="preserve"> </w:t>
      </w:r>
      <w:r>
        <w:rPr>
          <w:rFonts w:hint="eastAsia"/>
          <w:sz w:val="36"/>
          <w:szCs w:val="36"/>
        </w:rPr>
        <w:t>上海证券交易所优先股投资者风险揭示书必备条款</w:t>
      </w:r>
      <w:bookmarkEnd w:id="29"/>
    </w:p>
    <w:p w:rsidR="00F96FB1" w:rsidRDefault="00D33884">
      <w:pPr>
        <w:spacing w:line="360" w:lineRule="auto"/>
        <w:ind w:firstLine="480"/>
        <w:jc w:val="center"/>
        <w:rPr>
          <w:color w:val="000000"/>
          <w:sz w:val="24"/>
          <w:szCs w:val="24"/>
        </w:rPr>
      </w:pPr>
      <w:r>
        <w:rPr>
          <w:rFonts w:hint="eastAsia"/>
          <w:sz w:val="24"/>
          <w:szCs w:val="24"/>
        </w:rPr>
        <w:t>（2023年2月17日修订）</w:t>
      </w:r>
    </w:p>
    <w:p w:rsidR="00F96FB1" w:rsidRDefault="00F96FB1">
      <w:pPr>
        <w:spacing w:line="360" w:lineRule="auto"/>
        <w:ind w:firstLine="480"/>
        <w:rPr>
          <w:rFonts w:ascii="黑体" w:eastAsia="黑体" w:cs="仿宋_GB2312"/>
          <w:color w:val="000000"/>
          <w:sz w:val="24"/>
          <w:szCs w:val="24"/>
        </w:rPr>
      </w:pPr>
    </w:p>
    <w:p w:rsidR="00F96FB1" w:rsidRDefault="00D33884">
      <w:pPr>
        <w:spacing w:line="560" w:lineRule="exact"/>
        <w:jc w:val="left"/>
        <w:rPr>
          <w:color w:val="000000"/>
        </w:rPr>
      </w:pPr>
      <w:r>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rsidR="00F96FB1" w:rsidRDefault="00D33884">
      <w:pPr>
        <w:spacing w:line="560" w:lineRule="exact"/>
        <w:ind w:firstLine="602"/>
        <w:jc w:val="left"/>
        <w:rPr>
          <w:rFonts w:ascii="黑体" w:eastAsia="黑体" w:hAnsi="黑体"/>
          <w:b/>
          <w:color w:val="000000"/>
        </w:rPr>
      </w:pPr>
      <w:r>
        <w:rPr>
          <w:rFonts w:ascii="黑体" w:eastAsia="黑体" w:hAnsi="黑体" w:hint="eastAsia"/>
          <w:b/>
          <w:color w:val="000000"/>
        </w:rPr>
        <w:t>一、重要提示</w:t>
      </w:r>
    </w:p>
    <w:p w:rsidR="00F96FB1" w:rsidRDefault="00D33884">
      <w:pPr>
        <w:spacing w:line="560" w:lineRule="exact"/>
        <w:jc w:val="left"/>
        <w:rPr>
          <w:color w:val="000000"/>
        </w:rPr>
      </w:pPr>
      <w:r>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rsidR="00F96FB1" w:rsidRDefault="00D33884">
      <w:pPr>
        <w:spacing w:line="560" w:lineRule="exact"/>
        <w:jc w:val="left"/>
        <w:rPr>
          <w:color w:val="000000"/>
        </w:rPr>
      </w:pPr>
      <w:r>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rsidR="00F96FB1" w:rsidRDefault="00D33884">
      <w:pPr>
        <w:spacing w:line="560" w:lineRule="exact"/>
        <w:jc w:val="left"/>
        <w:rPr>
          <w:color w:val="000000"/>
        </w:rPr>
      </w:pPr>
      <w:r>
        <w:rPr>
          <w:rFonts w:hint="eastAsia"/>
          <w:color w:val="000000"/>
        </w:rPr>
        <w:t>（三）本风险揭示书无法详尽列示优先股的全部投资风险。投资者在参与此项业务前，请务必对此有清醒认识。</w:t>
      </w:r>
    </w:p>
    <w:p w:rsidR="00F96FB1" w:rsidRDefault="00D33884">
      <w:pPr>
        <w:spacing w:line="560" w:lineRule="exact"/>
        <w:ind w:firstLine="602"/>
        <w:jc w:val="left"/>
        <w:rPr>
          <w:rFonts w:hAnsi="黑体"/>
          <w:b/>
          <w:color w:val="000000"/>
        </w:rPr>
      </w:pPr>
      <w:r>
        <w:rPr>
          <w:rFonts w:ascii="黑体" w:eastAsia="黑体" w:hAnsi="黑体" w:hint="eastAsia"/>
          <w:b/>
          <w:color w:val="000000"/>
        </w:rPr>
        <w:t>二、优先股投资风险揭示</w:t>
      </w:r>
    </w:p>
    <w:p w:rsidR="00F96FB1" w:rsidRDefault="00D33884">
      <w:pPr>
        <w:spacing w:line="560" w:lineRule="exact"/>
        <w:ind w:firstLine="602"/>
        <w:jc w:val="left"/>
        <w:rPr>
          <w:b/>
          <w:color w:val="000000"/>
        </w:rPr>
      </w:pPr>
      <w:r>
        <w:rPr>
          <w:rFonts w:hAnsi="黑体" w:hint="eastAsia"/>
          <w:b/>
          <w:color w:val="000000"/>
        </w:rPr>
        <w:t>（一）</w:t>
      </w:r>
      <w:r>
        <w:rPr>
          <w:rFonts w:hint="eastAsia"/>
          <w:b/>
          <w:color w:val="000000"/>
        </w:rPr>
        <w:t>股东权利的特殊性可能带来的风险</w:t>
      </w:r>
    </w:p>
    <w:p w:rsidR="00F96FB1" w:rsidRDefault="00D33884">
      <w:pPr>
        <w:spacing w:line="560" w:lineRule="exact"/>
        <w:jc w:val="left"/>
        <w:rPr>
          <w:color w:val="000000"/>
        </w:rPr>
      </w:pPr>
      <w:r>
        <w:rPr>
          <w:rFonts w:hint="eastAsia"/>
          <w:color w:val="000000"/>
        </w:rPr>
        <w:lastRenderedPageBreak/>
        <w:t>优先股是独立于普通股的类别股份，优先股股东权利具有特殊性，如认知不到位，可能给投资者造成投资风险。包括但不限于：</w:t>
      </w:r>
    </w:p>
    <w:p w:rsidR="00F96FB1" w:rsidRDefault="00D33884">
      <w:pPr>
        <w:spacing w:line="560" w:lineRule="exact"/>
        <w:jc w:val="left"/>
        <w:rPr>
          <w:color w:val="000000"/>
        </w:rPr>
      </w:pPr>
      <w:r>
        <w:rPr>
          <w:rFonts w:hint="eastAsia"/>
          <w:color w:val="000000"/>
        </w:rPr>
        <w:t>1.投资者应充分关注优先股与普通股的差异。优先股</w:t>
      </w:r>
      <w:r>
        <w:rPr>
          <w:rFonts w:hAnsi="仿宋_GB2312" w:hint="eastAsia"/>
          <w:color w:val="000000"/>
        </w:rPr>
        <w:t>股份持有人优先于普通股股东分配公司利润和剩余财产，但参与公司决策管理等权利受到限制</w:t>
      </w:r>
      <w:r>
        <w:rPr>
          <w:rFonts w:hint="eastAsia"/>
          <w:color w:val="000000"/>
        </w:rPr>
        <w:t>。根据发行文件约定，商业银行向特定对象发行的优先股在触发事件发生时可能被</w:t>
      </w:r>
      <w:r>
        <w:rPr>
          <w:rFonts w:hint="eastAsia"/>
        </w:rPr>
        <w:t>强制</w:t>
      </w:r>
      <w:r>
        <w:rPr>
          <w:rFonts w:hint="eastAsia"/>
          <w:color w:val="000000"/>
        </w:rPr>
        <w:t>转换为普通股。</w:t>
      </w:r>
    </w:p>
    <w:p w:rsidR="00F96FB1" w:rsidRDefault="00D33884">
      <w:pPr>
        <w:spacing w:line="560" w:lineRule="exact"/>
        <w:jc w:val="left"/>
        <w:rPr>
          <w:color w:val="000000"/>
        </w:rPr>
      </w:pPr>
      <w:r>
        <w:rPr>
          <w:rFonts w:hint="eastAsia"/>
          <w:color w:val="000000"/>
        </w:rPr>
        <w:t>2.投资者应充分关注优先股与债券的差异。优先股具有固定收益证券的特征，但并不代表债权债务关系。一般而言，发行人</w:t>
      </w:r>
      <w:r>
        <w:rPr>
          <w:rFonts w:hAnsi="仿宋" w:hint="eastAsia"/>
          <w:color w:val="000000"/>
        </w:rPr>
        <w:t>无到期归还本金的义务，</w:t>
      </w:r>
      <w:r>
        <w:rPr>
          <w:rFonts w:hint="eastAsia"/>
          <w:color w:val="000000"/>
        </w:rPr>
        <w:t>可分配税后利润</w:t>
      </w:r>
      <w:r>
        <w:rPr>
          <w:rFonts w:hAnsi="仿宋" w:hint="eastAsia"/>
          <w:color w:val="000000"/>
        </w:rPr>
        <w:t>不足以足额支付股息的并不构成违约。</w:t>
      </w:r>
    </w:p>
    <w:p w:rsidR="00F96FB1" w:rsidRDefault="00D33884">
      <w:pPr>
        <w:spacing w:line="560" w:lineRule="exact"/>
        <w:jc w:val="left"/>
        <w:rPr>
          <w:color w:val="000000"/>
        </w:rPr>
      </w:pPr>
      <w:r>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rsidR="00F96FB1" w:rsidRDefault="00D33884">
      <w:pPr>
        <w:spacing w:line="560" w:lineRule="exact"/>
        <w:ind w:firstLine="602"/>
        <w:jc w:val="left"/>
        <w:rPr>
          <w:b/>
          <w:color w:val="000000"/>
        </w:rPr>
      </w:pPr>
      <w:r>
        <w:rPr>
          <w:rFonts w:hint="eastAsia"/>
          <w:b/>
          <w:color w:val="000000"/>
        </w:rPr>
        <w:t>（二）规则差异可能带来的风险</w:t>
      </w:r>
    </w:p>
    <w:p w:rsidR="00F96FB1" w:rsidRDefault="00D33884">
      <w:pPr>
        <w:spacing w:line="560" w:lineRule="exact"/>
        <w:jc w:val="left"/>
        <w:rPr>
          <w:color w:val="000000"/>
        </w:rPr>
      </w:pPr>
      <w:r>
        <w:rPr>
          <w:rFonts w:hint="eastAsia"/>
          <w:color w:val="000000"/>
        </w:rPr>
        <w:t>优先股在上市、交易、转让、信息披露等方面与普通股的业务规则存在较大的差异。如认知不到位，可能给投资者造成投资风险。包括但不限于：</w:t>
      </w:r>
    </w:p>
    <w:p w:rsidR="00F96FB1" w:rsidRDefault="00D33884">
      <w:pPr>
        <w:spacing w:line="560" w:lineRule="exact"/>
        <w:jc w:val="left"/>
        <w:rPr>
          <w:color w:val="000000"/>
        </w:rPr>
      </w:pPr>
      <w:r>
        <w:rPr>
          <w:rFonts w:hint="eastAsia"/>
          <w:color w:val="000000"/>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rsidR="00F96FB1" w:rsidRDefault="00D33884">
      <w:pPr>
        <w:spacing w:line="560" w:lineRule="exact"/>
        <w:jc w:val="left"/>
        <w:rPr>
          <w:color w:val="000000"/>
        </w:rPr>
      </w:pPr>
      <w:r>
        <w:rPr>
          <w:rFonts w:hint="eastAsia"/>
          <w:color w:val="000000"/>
        </w:rPr>
        <w:lastRenderedPageBreak/>
        <w:t>2.上市优先股交易机制特殊性可能产生的风险。</w:t>
      </w:r>
      <w:r>
        <w:rPr>
          <w:rFonts w:hAnsi="仿宋_GB2312" w:hint="eastAsia"/>
          <w:color w:val="000000"/>
        </w:rPr>
        <w:t>优先股每股票面金额为</w:t>
      </w:r>
      <w:r>
        <w:rPr>
          <w:rFonts w:hAnsi="仿宋_GB2312"/>
          <w:color w:val="000000"/>
        </w:rPr>
        <w:t>100</w:t>
      </w:r>
      <w:r>
        <w:rPr>
          <w:rFonts w:hAnsi="仿宋_GB2312" w:hint="eastAsia"/>
          <w:color w:val="000000"/>
        </w:rPr>
        <w:t>元；</w:t>
      </w:r>
      <w:r>
        <w:rPr>
          <w:rFonts w:hAnsi="仿宋_GB2312" w:cs="仿宋_GB2312" w:hint="eastAsia"/>
        </w:rPr>
        <w:t>优先股上市首日和日常交易设置价格涨跌幅限制，主板涨跌幅比例为10%，科创板涨跌幅比例为20%；</w:t>
      </w:r>
      <w:r>
        <w:rPr>
          <w:rFonts w:hint="eastAsia"/>
          <w:color w:val="000000"/>
        </w:rPr>
        <w:t>优先股交易信息单独显示，不纳入上交所有关普通股的指数计算；优先股异常波动情形采用特殊的认定标准。</w:t>
      </w:r>
    </w:p>
    <w:p w:rsidR="00F96FB1" w:rsidRDefault="00D33884">
      <w:pPr>
        <w:spacing w:line="560" w:lineRule="exact"/>
        <w:jc w:val="left"/>
        <w:rPr>
          <w:b/>
          <w:color w:val="000000"/>
        </w:rPr>
      </w:pPr>
      <w:r>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rsidR="00F96FB1" w:rsidRDefault="00D33884">
      <w:pPr>
        <w:ind w:firstLine="720"/>
        <w:rPr>
          <w:sz w:val="36"/>
          <w:szCs w:val="36"/>
        </w:rPr>
      </w:pPr>
      <w:r>
        <w:rPr>
          <w:sz w:val="36"/>
          <w:szCs w:val="36"/>
        </w:rPr>
        <w:br w:type="page"/>
      </w:r>
    </w:p>
    <w:p w:rsidR="00F96FB1" w:rsidRDefault="00D33884">
      <w:pPr>
        <w:pStyle w:val="2"/>
        <w:jc w:val="left"/>
        <w:rPr>
          <w:sz w:val="36"/>
          <w:szCs w:val="36"/>
        </w:rPr>
      </w:pPr>
      <w:r>
        <w:rPr>
          <w:rFonts w:ascii="仿宋_GB2312" w:eastAsia="仿宋_GB2312" w:hAnsi="仿宋" w:hint="eastAsia"/>
          <w:sz w:val="30"/>
          <w:szCs w:val="30"/>
        </w:rPr>
        <w:lastRenderedPageBreak/>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《上海证券交易所优先股投资者风险揭示书必备条款》</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pStyle w:val="af"/>
        <w:widowControl/>
        <w:spacing w:line="560" w:lineRule="exact"/>
        <w:ind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w:t>
      </w:r>
      <w:r>
        <w:rPr>
          <w:rFonts w:ascii="仿宋_GB2312" w:eastAsia="仿宋_GB2312" w:hAnsi="仿宋" w:cs="Times New Roman" w:hint="eastAsia"/>
          <w:bCs/>
          <w:sz w:val="30"/>
          <w:szCs w:val="30"/>
        </w:rPr>
        <w:t>3年2月17日</w:t>
      </w:r>
    </w:p>
    <w:p w:rsidR="00F96FB1" w:rsidRPr="00AF6198" w:rsidRDefault="00D33884" w:rsidP="00AF6198">
      <w:pPr>
        <w:spacing w:line="560" w:lineRule="exact"/>
        <w:ind w:firstLine="602"/>
        <w:rPr>
          <w:rFonts w:hAnsi="仿宋"/>
          <w:b/>
          <w:bCs/>
        </w:rPr>
      </w:pPr>
      <w:r w:rsidRPr="00AF6198">
        <w:rPr>
          <w:rFonts w:hAnsi="仿宋" w:hint="eastAsia"/>
          <w:b/>
          <w:bCs/>
        </w:rPr>
        <w:t>1.1修改“一、重要提示”部分内容</w:t>
      </w:r>
    </w:p>
    <w:p w:rsidR="00F96FB1" w:rsidRDefault="00D33884">
      <w:pPr>
        <w:spacing w:line="560" w:lineRule="exact"/>
        <w:rPr>
          <w:rFonts w:hAnsi="仿宋" w:cs="仿宋"/>
        </w:rPr>
      </w:pPr>
      <w:r>
        <w:rPr>
          <w:rFonts w:hAnsi="仿宋" w:cs="仿宋" w:hint="eastAsia"/>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Ansi="仿宋" w:cs="仿宋" w:hint="eastAsia"/>
          <w:strike/>
        </w:rPr>
        <w:t>业务试点管理办法</w:t>
      </w:r>
      <w:r>
        <w:rPr>
          <w:rFonts w:hAnsi="仿宋" w:cs="仿宋" w:hint="eastAsia"/>
          <w:b/>
        </w:rPr>
        <w:t>试点业务实施细则</w:t>
      </w:r>
      <w:r>
        <w:rPr>
          <w:rFonts w:hAnsi="仿宋" w:cs="仿宋" w:hint="eastAsia"/>
        </w:rPr>
        <w:t xml:space="preserve">》等有关规范性文件、规章和业务规则。  </w:t>
      </w:r>
    </w:p>
    <w:p w:rsidR="00F96FB1" w:rsidRDefault="00D33884">
      <w:pPr>
        <w:spacing w:line="560" w:lineRule="exact"/>
        <w:rPr>
          <w:rFonts w:hAnsi="仿宋"/>
          <w:bCs/>
        </w:rPr>
      </w:pPr>
      <w:r>
        <w:rPr>
          <w:rFonts w:hAnsi="仿宋" w:cs="仿宋" w:hint="eastAsia"/>
        </w:rPr>
        <w:t>（二）优先股的条款比较复杂，不同的条款决定了不同的优先股类别。在参与优先股投资之前，投资者应充分关注优先股的具体条款内容，仔细研读相关公司的</w:t>
      </w:r>
      <w:r>
        <w:rPr>
          <w:rFonts w:hAnsi="仿宋" w:cs="仿宋" w:hint="eastAsia"/>
          <w:strike/>
        </w:rPr>
        <w:t>《招股说明书》、《上市公告书》、定期报告及其他各种公告</w:t>
      </w:r>
      <w:r>
        <w:rPr>
          <w:rFonts w:hAnsi="仿宋" w:cs="仿宋" w:hint="eastAsia"/>
        </w:rPr>
        <w:t>定期报告、临时报告、募集说明书、上市公告书等，做到理性投资，切忌盲目跟风。</w:t>
      </w:r>
      <w:r>
        <w:rPr>
          <w:rFonts w:hAnsi="仿宋" w:cs="仿宋" w:hint="eastAsia"/>
          <w:sz w:val="24"/>
          <w:szCs w:val="24"/>
        </w:rPr>
        <w:t xml:space="preserve"> </w:t>
      </w:r>
    </w:p>
    <w:p w:rsidR="00F96FB1" w:rsidRDefault="00D33884">
      <w:pPr>
        <w:spacing w:line="560" w:lineRule="exact"/>
        <w:ind w:firstLine="602"/>
        <w:rPr>
          <w:rFonts w:hAnsi="仿宋"/>
          <w:b/>
        </w:rPr>
      </w:pPr>
      <w:r>
        <w:rPr>
          <w:rFonts w:hAnsi="仿宋" w:hint="eastAsia"/>
          <w:b/>
        </w:rPr>
        <w:t>1.2修改“二、优先股投资风险揭示”部分内容：</w:t>
      </w:r>
    </w:p>
    <w:p w:rsidR="00F96FB1" w:rsidRDefault="00D33884">
      <w:pPr>
        <w:spacing w:line="560" w:lineRule="exact"/>
        <w:jc w:val="left"/>
        <w:rPr>
          <w:color w:val="000000"/>
        </w:rPr>
      </w:pPr>
      <w:r>
        <w:rPr>
          <w:rFonts w:hint="eastAsia"/>
          <w:color w:val="000000"/>
        </w:rPr>
        <w:t>（一）股东权利的特殊性可能带来的风险</w:t>
      </w:r>
    </w:p>
    <w:p w:rsidR="00F96FB1" w:rsidRDefault="00D33884">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rsidR="00F96FB1" w:rsidRDefault="00D33884">
      <w:pPr>
        <w:spacing w:line="560" w:lineRule="exact"/>
        <w:jc w:val="left"/>
        <w:rPr>
          <w:color w:val="000000"/>
        </w:rPr>
      </w:pPr>
      <w:r>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rPr>
        <w:t>非公开</w:t>
      </w:r>
      <w:r>
        <w:rPr>
          <w:rFonts w:hint="eastAsia"/>
          <w:b/>
          <w:bCs/>
          <w:color w:val="000000"/>
        </w:rPr>
        <w:t>向特定对象</w:t>
      </w:r>
      <w:r>
        <w:rPr>
          <w:rFonts w:hint="eastAsia"/>
          <w:color w:val="000000"/>
        </w:rPr>
        <w:t>发行的优先股在触发事件发生时可能被强制转换为普</w:t>
      </w:r>
      <w:r>
        <w:rPr>
          <w:rFonts w:hint="eastAsia"/>
          <w:color w:val="000000"/>
        </w:rPr>
        <w:lastRenderedPageBreak/>
        <w:t>通股。</w:t>
      </w:r>
    </w:p>
    <w:p w:rsidR="00F96FB1" w:rsidRDefault="00D33884">
      <w:pPr>
        <w:spacing w:line="560" w:lineRule="exact"/>
        <w:jc w:val="left"/>
        <w:rPr>
          <w:color w:val="000000"/>
        </w:rPr>
      </w:pPr>
      <w:r>
        <w:rPr>
          <w:rFonts w:hint="eastAsia"/>
          <w:color w:val="000000"/>
        </w:rPr>
        <w:t>3.投资者应充分关注优先股的具体条款内容，主要包括优先股股息率是采用固定股息率还是浮动股息率、</w:t>
      </w:r>
      <w:r>
        <w:rPr>
          <w:rFonts w:hint="eastAsia"/>
          <w:b/>
          <w:color w:val="000000"/>
        </w:rPr>
        <w:t>在有可分配税后利润的情况下是否必须分配利润、</w:t>
      </w:r>
      <w:r>
        <w:rPr>
          <w:rFonts w:hint="eastAsia"/>
          <w:color w:val="000000"/>
        </w:rPr>
        <w:t>股息是否可以累积到下一会计年度、优先股股东是否可以参与剩余利润分配、优先股是否可以转换成普通股、发行人或优先股股东是否可以行使回购选择权等。</w:t>
      </w:r>
    </w:p>
    <w:p w:rsidR="00F96FB1" w:rsidRDefault="00D33884">
      <w:pPr>
        <w:spacing w:line="560" w:lineRule="exact"/>
        <w:rPr>
          <w:rFonts w:hAnsi="仿宋_GB2312" w:cs="仿宋_GB2312"/>
        </w:rPr>
      </w:pPr>
      <w:r>
        <w:rPr>
          <w:rFonts w:hAnsi="仿宋_GB2312" w:cs="仿宋_GB2312" w:hint="eastAsia"/>
        </w:rPr>
        <w:t>（二）规则差异可能带来的风险</w:t>
      </w:r>
    </w:p>
    <w:p w:rsidR="00F96FB1" w:rsidRDefault="00D33884">
      <w:pPr>
        <w:spacing w:line="560" w:lineRule="exact"/>
        <w:rPr>
          <w:rFonts w:hAnsi="仿宋_GB2312" w:cs="仿宋_GB2312"/>
        </w:rPr>
      </w:pPr>
      <w:r>
        <w:rPr>
          <w:rFonts w:hAnsi="仿宋_GB2312" w:cs="仿宋_GB2312" w:hint="eastAsia"/>
        </w:rPr>
        <w:t>优先股在</w:t>
      </w:r>
      <w:r>
        <w:rPr>
          <w:rFonts w:hAnsi="仿宋_GB2312" w:cs="仿宋_GB2312" w:hint="eastAsia"/>
          <w:strike/>
        </w:rPr>
        <w:t>发行、</w:t>
      </w:r>
      <w:r>
        <w:rPr>
          <w:rFonts w:hAnsi="仿宋_GB2312" w:cs="仿宋_GB2312" w:hint="eastAsia"/>
        </w:rPr>
        <w:t>上市、交易、转让、信息披露等方面与普通股的业务规则存在较大的差异。如认知不到位，可能给投资者造成投资风险。包括但不限于：</w:t>
      </w:r>
    </w:p>
    <w:p w:rsidR="00F96FB1" w:rsidRDefault="00D33884">
      <w:pPr>
        <w:spacing w:line="560" w:lineRule="exact"/>
        <w:rPr>
          <w:rFonts w:hAnsi="仿宋_GB2312" w:cs="仿宋_GB2312"/>
        </w:rPr>
      </w:pPr>
      <w:r>
        <w:rPr>
          <w:rFonts w:hAnsi="仿宋_GB2312" w:cs="仿宋_GB2312" w:hint="eastAsia"/>
        </w:rPr>
        <w:t>1.上市优先股和普通股都存在被实施退市风险警示、</w:t>
      </w:r>
      <w:r>
        <w:rPr>
          <w:rFonts w:hAnsi="仿宋_GB2312" w:cs="仿宋_GB2312" w:hint="eastAsia"/>
          <w:strike/>
        </w:rPr>
        <w:t>暂停上市、</w:t>
      </w:r>
      <w:r>
        <w:rPr>
          <w:rFonts w:hAnsi="仿宋_GB2312" w:cs="仿宋_GB2312" w:hint="eastAsia"/>
        </w:rPr>
        <w:t>终止上市等退市风险，但相关业务规则存在差异。如同一优先股连续20个交易日收盘市值均低于人民币5000万元，该优先股存在被上海证券交易所终止上市的风险，而普通股不存在相关规定。</w:t>
      </w:r>
    </w:p>
    <w:p w:rsidR="00F96FB1" w:rsidRDefault="00D33884">
      <w:pPr>
        <w:spacing w:line="560" w:lineRule="exact"/>
        <w:rPr>
          <w:rFonts w:hAnsi="仿宋_GB2312" w:cs="仿宋_GB2312"/>
        </w:rPr>
      </w:pPr>
      <w:r>
        <w:rPr>
          <w:rFonts w:hAnsi="仿宋_GB2312" w:cs="仿宋_GB2312" w:hint="eastAsia"/>
        </w:rPr>
        <w:t>2.上市优先股交易机制特殊性可能产生的风险。优先股每股票面金额为100元；优先股上市首日和日常交易设置</w:t>
      </w:r>
      <w:r>
        <w:rPr>
          <w:rFonts w:hAnsi="仿宋_GB2312" w:cs="仿宋_GB2312" w:hint="eastAsia"/>
          <w:strike/>
        </w:rPr>
        <w:t>10%的</w:t>
      </w:r>
      <w:r>
        <w:rPr>
          <w:rFonts w:hAnsi="仿宋_GB2312" w:cs="仿宋_GB2312" w:hint="eastAsia"/>
        </w:rPr>
        <w:t>价格涨跌幅限制，</w:t>
      </w:r>
      <w:r>
        <w:rPr>
          <w:rFonts w:hAnsi="仿宋_GB2312" w:cs="仿宋_GB2312" w:hint="eastAsia"/>
          <w:b/>
          <w:bCs/>
        </w:rPr>
        <w:t>主板涨跌幅比例为10%，科创板涨跌幅比例为20%；</w:t>
      </w:r>
      <w:r>
        <w:rPr>
          <w:rFonts w:hAnsi="仿宋_GB2312" w:cs="仿宋_GB2312" w:hint="eastAsia"/>
        </w:rPr>
        <w:t>优先股交易信息单独显示，不纳入上交所有关普通股的指数计算；优先股异常波动情形采用特殊的认定标准。</w:t>
      </w:r>
    </w:p>
    <w:p w:rsidR="00F96FB1" w:rsidRDefault="00D33884">
      <w:pPr>
        <w:spacing w:line="560" w:lineRule="exact"/>
        <w:rPr>
          <w:rFonts w:hAnsi="仿宋_GB2312" w:cs="仿宋_GB2312"/>
        </w:rPr>
      </w:pPr>
      <w:r>
        <w:rPr>
          <w:rFonts w:hAnsi="仿宋_GB2312" w:cs="仿宋_GB2312" w:hint="eastAsia"/>
        </w:rPr>
        <w:t>3.</w:t>
      </w:r>
      <w:r>
        <w:rPr>
          <w:rFonts w:hAnsi="仿宋_GB2312" w:cs="仿宋_GB2312" w:hint="eastAsia"/>
          <w:strike/>
        </w:rPr>
        <w:t>非公开</w:t>
      </w:r>
      <w:r>
        <w:rPr>
          <w:rFonts w:hAnsi="仿宋_GB2312" w:cs="仿宋_GB2312" w:hint="eastAsia"/>
          <w:b/>
          <w:bCs/>
        </w:rPr>
        <w:t>向特定对象</w:t>
      </w:r>
      <w:r>
        <w:rPr>
          <w:rFonts w:hAnsi="仿宋_GB2312" w:cs="仿宋_GB2312" w:hint="eastAsia"/>
        </w:rPr>
        <w:t>发行的优先股转让无法成交的风险。</w:t>
      </w:r>
      <w:r>
        <w:rPr>
          <w:rFonts w:hAnsi="仿宋_GB2312" w:cs="仿宋_GB2312" w:hint="eastAsia"/>
          <w:strike/>
        </w:rPr>
        <w:t>非公开</w:t>
      </w:r>
      <w:r>
        <w:rPr>
          <w:rFonts w:hAnsi="仿宋_GB2312" w:cs="仿宋_GB2312" w:hint="eastAsia"/>
          <w:b/>
          <w:bCs/>
        </w:rPr>
        <w:t>向特定对象</w:t>
      </w:r>
      <w:r>
        <w:rPr>
          <w:rFonts w:hAnsi="仿宋_GB2312" w:cs="仿宋_GB2312" w:hint="eastAsia"/>
        </w:rPr>
        <w:t>发行的优先股在交易所市场的转让只能在不超过200名合格投资者之间进行。当转让导致优先股投资者超过200人时，优先股转让将出现无法成交。</w:t>
      </w:r>
    </w:p>
    <w:p w:rsidR="00F96FB1" w:rsidRDefault="00D33884">
      <w:pPr>
        <w:pStyle w:val="2"/>
        <w:jc w:val="both"/>
        <w:rPr>
          <w:sz w:val="36"/>
          <w:szCs w:val="36"/>
        </w:rPr>
      </w:pPr>
      <w:r>
        <w:rPr>
          <w:sz w:val="36"/>
          <w:szCs w:val="36"/>
        </w:rPr>
        <w:br w:type="page"/>
      </w:r>
      <w:bookmarkStart w:id="30" w:name="_Toc117606499"/>
      <w:r>
        <w:rPr>
          <w:sz w:val="36"/>
          <w:szCs w:val="36"/>
        </w:rPr>
        <w:lastRenderedPageBreak/>
        <w:t>1.</w:t>
      </w:r>
      <w:r>
        <w:rPr>
          <w:rFonts w:hint="eastAsia"/>
          <w:sz w:val="36"/>
          <w:szCs w:val="36"/>
        </w:rPr>
        <w:t>7</w:t>
      </w:r>
      <w:r>
        <w:rPr>
          <w:sz w:val="36"/>
          <w:szCs w:val="36"/>
        </w:rPr>
        <w:t xml:space="preserve"> </w:t>
      </w:r>
      <w:r>
        <w:rPr>
          <w:rFonts w:hint="eastAsia"/>
          <w:sz w:val="36"/>
          <w:szCs w:val="36"/>
        </w:rPr>
        <w:t>上海证券交易所港股通投资者风险揭示书必备条款</w:t>
      </w:r>
      <w:bookmarkEnd w:id="30"/>
    </w:p>
    <w:p w:rsidR="00F96FB1" w:rsidRDefault="00D33884">
      <w:pPr>
        <w:autoSpaceDE w:val="0"/>
        <w:autoSpaceDN w:val="0"/>
        <w:adjustRightInd w:val="0"/>
        <w:spacing w:line="360" w:lineRule="auto"/>
        <w:ind w:rightChars="12" w:right="36" w:firstLine="480"/>
        <w:jc w:val="center"/>
        <w:rPr>
          <w:rFonts w:cs="黑体"/>
          <w:sz w:val="24"/>
          <w:szCs w:val="24"/>
        </w:rPr>
      </w:pPr>
      <w:r>
        <w:rPr>
          <w:rFonts w:cs="黑体" w:hint="eastAsia"/>
          <w:sz w:val="24"/>
          <w:szCs w:val="24"/>
        </w:rPr>
        <w:t>（2022年6月24日修订）</w:t>
      </w:r>
    </w:p>
    <w:p w:rsidR="00F96FB1" w:rsidRDefault="00F96FB1">
      <w:pPr>
        <w:spacing w:line="360" w:lineRule="auto"/>
        <w:ind w:firstLine="480"/>
        <w:rPr>
          <w:sz w:val="24"/>
          <w:szCs w:val="24"/>
        </w:rPr>
      </w:pPr>
    </w:p>
    <w:p w:rsidR="00F96FB1" w:rsidRDefault="00D33884">
      <w:pPr>
        <w:spacing w:line="360" w:lineRule="auto"/>
      </w:pPr>
      <w:r>
        <w:rPr>
          <w:rFonts w:hint="eastAsia"/>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rsidR="00F96FB1" w:rsidRDefault="00D33884">
      <w:pPr>
        <w:spacing w:line="360" w:lineRule="auto"/>
      </w:pPr>
      <w:r>
        <w:rPr>
          <w:rFonts w:hint="eastAsia"/>
        </w:rPr>
        <w:t>一、香港证券市场与内地证券市场存在诸多差异，投资者参与港股通交易需遵守内地与香港相关法律、行政法规、部门规章、规范性文件和业务规则，对香港证券市场有所了解；通过港股通参与香港证券市场交易与通过其他方式参与香港证券市场交易，也存在一定的差异。</w:t>
      </w:r>
    </w:p>
    <w:p w:rsidR="00F96FB1" w:rsidRDefault="00D33884">
      <w:pPr>
        <w:spacing w:line="360" w:lineRule="auto"/>
      </w:pPr>
      <w:r>
        <w:rPr>
          <w:rFonts w:hint="eastAsia"/>
        </w:rPr>
        <w:t>二、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rsidR="00F96FB1" w:rsidRDefault="00D33884">
      <w:pPr>
        <w:spacing w:line="360" w:lineRule="auto"/>
      </w:pPr>
      <w:r>
        <w:rPr>
          <w:rFonts w:hint="eastAsia"/>
        </w:rPr>
        <w:t>三、港股通股票可能出现因公司基本面变化、</w:t>
      </w:r>
      <w:r>
        <w:rPr>
          <w:rFonts w:hint="eastAsia"/>
          <w:color w:val="000000"/>
        </w:rPr>
        <w:t>第三方研究分析报告的观点、</w:t>
      </w:r>
      <w:r>
        <w:rPr>
          <w:rFonts w:hint="eastAsia"/>
        </w:rPr>
        <w:t>异常交易情形、做空机制等原因而引起股价较大波动的情形；港股通ETF可能出现因跟踪标的指数成份证券大幅波动、流动性不佳、受有关场外结构化产品影响、交易异常情形等原因而引起价格较大波动、折溢价率和跟踪误差偏离合理区间</w:t>
      </w:r>
      <w:r>
        <w:rPr>
          <w:rFonts w:hint="eastAsia"/>
        </w:rPr>
        <w:lastRenderedPageBreak/>
        <w:t>等情形，尤其是考虑到香港联合交易所有限公司（以下简称联交所）市场股票及ETF交易不设置涨跌幅限制，投资者应关注可能产生的风险。</w:t>
      </w:r>
    </w:p>
    <w:p w:rsidR="00F96FB1" w:rsidRDefault="00D33884">
      <w:pPr>
        <w:spacing w:line="360" w:lineRule="auto"/>
      </w:pPr>
      <w:r>
        <w:rPr>
          <w:rFonts w:hint="eastAsia"/>
        </w:rPr>
        <w:t>四、部分港股通股票可能存在大比例折价供股或配股、频繁分拆合并股份的行为，投资者持有的股份数量、股票面值可能发生大幅变化，投资者应关注可能产生的风险。</w:t>
      </w:r>
    </w:p>
    <w:p w:rsidR="00F96FB1" w:rsidRDefault="00D33884">
      <w:pPr>
        <w:spacing w:line="360" w:lineRule="auto"/>
      </w:pPr>
      <w:r>
        <w:rPr>
          <w:rFonts w:hint="eastAsia"/>
        </w:rPr>
        <w:t>五、部分港股通上市公司存在不同投票权安排，公司可能因存在控制权相对集中，或因某特定类别股份拥有的投票权利大于或优于普通股份拥有的投票权利等情形，而使普通投资者的投票权利及对公司日常经营等事务的影响力受到限制，投资者应当关注可能产生的风险。</w:t>
      </w:r>
    </w:p>
    <w:p w:rsidR="00F96FB1" w:rsidRDefault="00D33884">
      <w:pPr>
        <w:spacing w:line="360" w:lineRule="auto"/>
      </w:pPr>
      <w:r>
        <w:rPr>
          <w:rFonts w:hint="eastAsia"/>
        </w:rPr>
        <w:t>六、部分港股通生物科技公司可能存在公开发行并上市时尚未有收入，上市后仍无收入、持续亏损、无法进行利润分配等情形，投资者应当关注可能产生的风险。</w:t>
      </w:r>
    </w:p>
    <w:p w:rsidR="00F96FB1" w:rsidRDefault="00D33884">
      <w:pPr>
        <w:spacing w:line="360" w:lineRule="auto"/>
      </w:pPr>
      <w:r>
        <w:rPr>
          <w:rFonts w:hint="eastAsia"/>
        </w:rPr>
        <w:t>七、联交所市场证券停牌制度与内地证券市场相比存在一定差异，港股通标的证券可能出现长时间停牌现象，投资者应关注可能产生的风险。</w:t>
      </w:r>
    </w:p>
    <w:p w:rsidR="00F96FB1" w:rsidRDefault="00D33884">
      <w:pPr>
        <w:spacing w:line="360" w:lineRule="auto"/>
      </w:pPr>
      <w:r>
        <w:rPr>
          <w:rFonts w:hint="eastAsia"/>
        </w:rPr>
        <w:t>八、联交所市场股票交易没有退市风险警示、退市整理等安排，与内地证券市场相比，相关股票存在直接退市的风险。港股通股票一旦从联交所市场退市，投资者将面临无法继续通过港股通买卖相关股票的风险。</w:t>
      </w:r>
    </w:p>
    <w:p w:rsidR="00F96FB1" w:rsidRDefault="00D33884">
      <w:pPr>
        <w:spacing w:line="360" w:lineRule="auto"/>
      </w:pPr>
      <w:r>
        <w:rPr>
          <w:rFonts w:hint="eastAsia"/>
        </w:rPr>
        <w:t>九、与内地证券市场相比，香港市场ETF终止上市或更换基</w:t>
      </w:r>
      <w:r>
        <w:rPr>
          <w:rFonts w:hint="eastAsia"/>
        </w:rPr>
        <w:lastRenderedPageBreak/>
        <w:t>金管理人等制度安排存在一定差异，港股通ETF可能因基金管理人主动退出香港市场导致终止上市或更换基金管理人，投资者应当关注可能产生的风险。</w:t>
      </w:r>
    </w:p>
    <w:p w:rsidR="00F96FB1" w:rsidRDefault="00D33884">
      <w:pPr>
        <w:spacing w:line="360" w:lineRule="auto"/>
      </w:pPr>
      <w:r>
        <w:rPr>
          <w:rFonts w:hint="eastAsia"/>
        </w:rPr>
        <w:t>十、港股通股票退市后，中国证券登记结算有限责任公司（以下简称中国结算）通过香港中央结算有限公司（以下简称香港结算）继续为投资者提供的退市股票名义持有人服务可能会受限，投资者应当关注可能产生的风险。</w:t>
      </w:r>
    </w:p>
    <w:p w:rsidR="00F96FB1" w:rsidRDefault="00D33884">
      <w:pPr>
        <w:spacing w:line="360" w:lineRule="auto"/>
      </w:pPr>
      <w:r>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rsidR="00F96FB1" w:rsidRDefault="00D33884">
      <w:pPr>
        <w:spacing w:line="360" w:lineRule="auto"/>
      </w:pPr>
      <w:r>
        <w:rPr>
          <w:rFonts w:hint="eastAsia"/>
        </w:rPr>
        <w:t>十二、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rsidR="00F96FB1" w:rsidRDefault="00D33884">
      <w:pPr>
        <w:spacing w:line="360" w:lineRule="auto"/>
      </w:pPr>
      <w:r>
        <w:rPr>
          <w:rFonts w:hint="eastAsia"/>
        </w:rPr>
        <w:t>十三、只有沪港两地均为交易日且能够满足结算安排的交易日才为港股通交易日，具体以上海证券交易所（以下简称上交所）证券交易服务公司在其指定网站公布的日期为准。</w:t>
      </w:r>
    </w:p>
    <w:p w:rsidR="00F96FB1" w:rsidRDefault="00D33884">
      <w:pPr>
        <w:spacing w:line="360" w:lineRule="auto"/>
      </w:pPr>
      <w:r>
        <w:rPr>
          <w:rFonts w:hint="eastAsia"/>
        </w:rPr>
        <w:t>十四、每个港股通交易日的交易时间包括开市前时段、持续交易时段和收市竞价交易时段，具体按联交所的规定执行。</w:t>
      </w:r>
    </w:p>
    <w:p w:rsidR="00F96FB1" w:rsidRDefault="00D33884">
      <w:pPr>
        <w:spacing w:line="360" w:lineRule="auto"/>
      </w:pPr>
      <w:r>
        <w:rPr>
          <w:rFonts w:hint="eastAsia"/>
        </w:rPr>
        <w:t>圣诞前夕（12月24日）、元旦前夕（12月31日）或除夕日为港股通交易日的，港股通仅有半天交易，且当日为非交收日。</w:t>
      </w:r>
    </w:p>
    <w:p w:rsidR="00F96FB1" w:rsidRDefault="00D33884">
      <w:pPr>
        <w:spacing w:line="360" w:lineRule="auto"/>
      </w:pPr>
      <w:r>
        <w:rPr>
          <w:rFonts w:hint="eastAsia"/>
        </w:rPr>
        <w:lastRenderedPageBreak/>
        <w:t>十五、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rsidR="00F96FB1" w:rsidRDefault="00D33884">
      <w:pPr>
        <w:spacing w:line="360" w:lineRule="auto"/>
      </w:pPr>
      <w:r>
        <w:rPr>
          <w:rFonts w:hint="eastAsia"/>
        </w:rPr>
        <w:t>十六、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rsidR="00F96FB1" w:rsidRDefault="00D33884">
      <w:pPr>
        <w:spacing w:line="360" w:lineRule="auto"/>
      </w:pPr>
      <w:r>
        <w:rPr>
          <w:rFonts w:hint="eastAsia"/>
        </w:rPr>
        <w:t>十七、投资者参与联交所自动对盘系统交易，在联交所开市前时段和收市竞价交易时段应当采用竞价限价盘委托，在联交所持续交易时段应当采用增强限价盘委托。</w:t>
      </w:r>
    </w:p>
    <w:p w:rsidR="00F96FB1" w:rsidRDefault="00D33884">
      <w:pPr>
        <w:spacing w:line="360" w:lineRule="auto"/>
      </w:pPr>
      <w:r>
        <w:rPr>
          <w:rFonts w:hint="eastAsia"/>
        </w:rPr>
        <w:t>十八、投资者持有的碎股只能通过联交所半自动对盘碎股交易系统卖出。</w:t>
      </w:r>
    </w:p>
    <w:p w:rsidR="00F96FB1" w:rsidRDefault="00D33884">
      <w:pPr>
        <w:spacing w:line="360" w:lineRule="auto"/>
      </w:pPr>
      <w:r>
        <w:rPr>
          <w:rFonts w:hint="eastAsia"/>
        </w:rPr>
        <w:t>十九、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rsidR="00F96FB1" w:rsidRDefault="00D33884">
      <w:pPr>
        <w:spacing w:line="360" w:lineRule="auto"/>
        <w:rPr>
          <w:b/>
        </w:rPr>
      </w:pPr>
      <w:r>
        <w:rPr>
          <w:rFonts w:hint="eastAsia"/>
        </w:rPr>
        <w:lastRenderedPageBreak/>
        <w:t>二十、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rsidR="00F96FB1" w:rsidRDefault="00D33884">
      <w:pPr>
        <w:spacing w:line="360" w:lineRule="auto"/>
      </w:pPr>
      <w:r>
        <w:rPr>
          <w:rFonts w:hint="eastAsia"/>
        </w:rPr>
        <w:t>二十一、投资者当日买入的港股通标的证券，经确认成交后，在交收前即可卖出，投资者应当关注因此可能产生的风险。</w:t>
      </w:r>
    </w:p>
    <w:p w:rsidR="00F96FB1" w:rsidRDefault="00D33884">
      <w:pPr>
        <w:spacing w:line="360" w:lineRule="auto"/>
      </w:pPr>
      <w:r>
        <w:rPr>
          <w:rFonts w:hint="eastAsia"/>
        </w:rPr>
        <w:t>二十二、与内地证券市场相比，联交所在订单申报的最小交易价差、每手证券数量、申报最大限制等方面存在一定的差异，投资者应当关注因此可能产生的风险。</w:t>
      </w:r>
    </w:p>
    <w:p w:rsidR="00F96FB1" w:rsidRDefault="00D33884">
      <w:pPr>
        <w:spacing w:line="360" w:lineRule="auto"/>
      </w:pPr>
      <w:r>
        <w:rPr>
          <w:rFonts w:hint="eastAsia"/>
        </w:rPr>
        <w:t>二十三、港股通交易中若联交所与上交所证券交易服务公司之间的报盘系统或者通信链路出现故障，可能导致15分钟以上不能申报和撤销申报，投资者应当关注因此可能产生的风险。</w:t>
      </w:r>
    </w:p>
    <w:p w:rsidR="00F96FB1" w:rsidRDefault="00D33884">
      <w:pPr>
        <w:spacing w:line="360" w:lineRule="auto"/>
      </w:pPr>
      <w:r>
        <w:rPr>
          <w:rFonts w:hint="eastAsia"/>
        </w:rPr>
        <w:t>二十四、港股通标的证券交易不设置涨跌幅限制，但根据联交所业务规则，适用市场波动调节机制的港股通标的证券的买卖申报可能受到价格限制，投资者应当关注因此可能产生的风险。</w:t>
      </w:r>
    </w:p>
    <w:p w:rsidR="00F96FB1" w:rsidRDefault="00D33884">
      <w:pPr>
        <w:spacing w:line="360" w:lineRule="auto"/>
      </w:pPr>
      <w:r>
        <w:rPr>
          <w:rFonts w:hint="eastAsia"/>
        </w:rPr>
        <w:t>二十五、对于适用收市竞价交易的港股通标的证券，根据联交所业务规则，收市竞价交易时段的买卖申报将受到价格限制，投资者应当关注因此可能产生的风险。</w:t>
      </w:r>
    </w:p>
    <w:p w:rsidR="00F96FB1" w:rsidRDefault="00D33884">
      <w:pPr>
        <w:spacing w:line="360" w:lineRule="auto"/>
      </w:pPr>
      <w:r>
        <w:rPr>
          <w:rFonts w:hint="eastAsia"/>
        </w:rPr>
        <w:t>二十六、对于适用开市前时段的港股通标的证券，根据联交所业务规则，开市前时段的买卖申报将受到价格限制，投资者应当关注因此可能产生的风险。</w:t>
      </w:r>
    </w:p>
    <w:p w:rsidR="00F96FB1" w:rsidRDefault="00D33884">
      <w:pPr>
        <w:spacing w:line="360" w:lineRule="auto"/>
      </w:pPr>
      <w:r>
        <w:rPr>
          <w:rFonts w:hint="eastAsia"/>
        </w:rPr>
        <w:lastRenderedPageBreak/>
        <w:t>二十七、投资者通过港股通业务获得的香港证券市场免费一档行情，与付费方式获得的行情相比，在刷新频率、档位显示等方面存在差异，投资者应当关注依此进行投资决策的风险。</w:t>
      </w:r>
    </w:p>
    <w:p w:rsidR="00F96FB1" w:rsidRDefault="00D33884">
      <w:pPr>
        <w:spacing w:line="360" w:lineRule="auto"/>
      </w:pPr>
      <w:r>
        <w:rPr>
          <w:rFonts w:hint="eastAsia"/>
        </w:rPr>
        <w:t>二十八、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rsidR="00F96FB1" w:rsidRDefault="00D33884">
      <w:pPr>
        <w:spacing w:line="360" w:lineRule="auto"/>
      </w:pPr>
      <w:r>
        <w:rPr>
          <w:rFonts w:hint="eastAsia"/>
        </w:rPr>
        <w:t>二十九、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rsidR="00F96FB1" w:rsidRDefault="00D33884">
      <w:pPr>
        <w:spacing w:line="360" w:lineRule="auto"/>
      </w:pPr>
      <w:r>
        <w:rPr>
          <w:rFonts w:hint="eastAsia"/>
        </w:rPr>
        <w:t>三十、香港证券市场与内地证券市场在证券资金的交收期安排上存在差异，港股通交易的交收期为T+2日。若投资者卖出证券，在交收完成前仍享有该证券的权益。若投资者买入证券，在交收完成后才享有该证券的权益。</w:t>
      </w:r>
    </w:p>
    <w:p w:rsidR="00F96FB1" w:rsidRDefault="00D33884">
      <w:pPr>
        <w:spacing w:line="360" w:lineRule="auto"/>
      </w:pPr>
      <w:r>
        <w:rPr>
          <w:rFonts w:hint="eastAsia"/>
        </w:rPr>
        <w:t>同时，港股通交易的交收可能因香港出现台风或黑色暴雨等发生延迟交收。</w:t>
      </w:r>
    </w:p>
    <w:p w:rsidR="00F96FB1" w:rsidRDefault="00D33884">
      <w:pPr>
        <w:spacing w:line="360" w:lineRule="auto"/>
      </w:pPr>
      <w:r>
        <w:rPr>
          <w:rFonts w:hint="eastAsia"/>
        </w:rPr>
        <w:lastRenderedPageBreak/>
        <w:t>三十一、投资者通过港股通业务暂不能参与新股发行认购、超额供股和超额公开配售，以及ETF发行认购和申购赎回。</w:t>
      </w:r>
    </w:p>
    <w:p w:rsidR="00F96FB1" w:rsidRDefault="00D33884">
      <w:pPr>
        <w:spacing w:line="360" w:lineRule="auto"/>
      </w:pPr>
      <w:r>
        <w:rPr>
          <w:rFonts w:hint="eastAsia"/>
        </w:rPr>
        <w:t>三十二、对于在联交所上市公司派发的现金红利或联交所上市ETF进行的收益分配，由于中国结算需要在收到香港结算派发的外币红利资金后进行换汇、清算、发放等业务处理，投资者通过港股通业务获得的现金红利将会较香港市场有所延后。</w:t>
      </w:r>
    </w:p>
    <w:p w:rsidR="00F96FB1" w:rsidRDefault="00D33884">
      <w:pPr>
        <w:spacing w:line="360" w:lineRule="auto"/>
      </w:pPr>
      <w:r>
        <w:rPr>
          <w:rFonts w:hint="eastAsia"/>
        </w:rPr>
        <w:t>三十三、对于在联交所上市公司派发的红股，中国结算在收到香港结算派发红股到账当日或次日进行业务处理，相应红股可于处理日下一港股通交易日上市交易。投资者红股可卖首日均较香港市场晚一个港股通交易日。</w:t>
      </w:r>
    </w:p>
    <w:p w:rsidR="00F96FB1" w:rsidRDefault="00D33884">
      <w:pPr>
        <w:spacing w:line="360" w:lineRule="auto"/>
      </w:pPr>
      <w:r>
        <w:rPr>
          <w:rFonts w:hint="eastAsia"/>
        </w:rPr>
        <w:t>三十四、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F96FB1" w:rsidRDefault="00D33884">
      <w:pPr>
        <w:spacing w:line="360" w:lineRule="auto"/>
      </w:pPr>
      <w:r>
        <w:rPr>
          <w:rFonts w:hint="eastAsia"/>
        </w:rPr>
        <w:t>三十五、对于在联交所上市公司派发的红股以及港股通标的证券分拆及合并业务产生的零碎证券，中国结算对投资者账户中小于1单位的零碎证券进行舍尾处理。当香港结算发放的红股总数或分拆、合并证券数额大于投资者账户舍尾取整后的总数的，中国结算按照精确算法分配差额部分。</w:t>
      </w:r>
    </w:p>
    <w:p w:rsidR="00F96FB1" w:rsidRDefault="00D33884">
      <w:pPr>
        <w:spacing w:line="360" w:lineRule="auto"/>
      </w:pPr>
      <w:r>
        <w:rPr>
          <w:rFonts w:hint="eastAsia"/>
        </w:rPr>
        <w:t>三十六、由于香港市场的费用收取或汇率的大幅波动等原因，可能会引起投资者账户的透支，投资者应当对账户内的余额进行</w:t>
      </w:r>
      <w:r>
        <w:rPr>
          <w:rFonts w:hint="eastAsia"/>
        </w:rPr>
        <w:lastRenderedPageBreak/>
        <w:t>关注。</w:t>
      </w:r>
    </w:p>
    <w:p w:rsidR="00F96FB1" w:rsidRDefault="00D33884">
      <w:pPr>
        <w:spacing w:line="360" w:lineRule="auto"/>
      </w:pPr>
      <w:r>
        <w:rPr>
          <w:rFonts w:hint="eastAsia"/>
        </w:rPr>
        <w:t>三十七、香港结算因极端情况下无法交付证券对中国结算实施现金结算的，中国结算将参照香港结算的处理原则进行相应业务处理。</w:t>
      </w:r>
    </w:p>
    <w:p w:rsidR="00F96FB1" w:rsidRDefault="00D33884">
      <w:pPr>
        <w:spacing w:line="360" w:lineRule="auto"/>
      </w:pPr>
      <w:r>
        <w:rPr>
          <w:rFonts w:hint="eastAsia"/>
        </w:rPr>
        <w:t>三十八、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F96FB1" w:rsidRDefault="00D33884">
      <w:pPr>
        <w:spacing w:line="360" w:lineRule="auto"/>
      </w:pPr>
      <w:r>
        <w:rPr>
          <w:rFonts w:hint="eastAsia"/>
        </w:rPr>
        <w:t>三十九、香港市场收费标准与内地市场收费标准不同，香港地区与内地在税收安排方面也存在差异，投资者买卖港股通标的证券，应当按照香港市场有关规定交纳相关费用，并按照香港地区相关规定缴纳税款。</w:t>
      </w:r>
    </w:p>
    <w:p w:rsidR="00F96FB1" w:rsidRDefault="00D33884">
      <w:pPr>
        <w:spacing w:line="360" w:lineRule="auto"/>
      </w:pPr>
      <w:r>
        <w:rPr>
          <w:rFonts w:hint="eastAsia"/>
        </w:rPr>
        <w:t>四十、对于因上交所、中国结算制定、修改业务规则，或者根据业务规则履行自律监管职责等造成的损失，上交所和中国结算不承担责任；投资者还应当充分知晓并认可联交所在其规则中规定的相关责任豁免条款，包括但不限于对因制定、修改业务规则、根据业务规则履行自律监管职责、发生或处置交易异常情况等导致的损失不承担责任的规定。</w:t>
      </w:r>
    </w:p>
    <w:p w:rsidR="00F96FB1" w:rsidRDefault="00D33884">
      <w:pPr>
        <w:spacing w:line="240" w:lineRule="auto"/>
      </w:pPr>
      <w:r>
        <w:rPr>
          <w:rFonts w:hint="eastAsia"/>
        </w:rPr>
        <w:br w:type="page"/>
      </w:r>
    </w:p>
    <w:p w:rsidR="00F96FB1" w:rsidRDefault="00D33884">
      <w:pPr>
        <w:pStyle w:val="af"/>
        <w:widowControl/>
        <w:spacing w:line="360" w:lineRule="auto"/>
        <w:ind w:firstLineChars="0" w:firstLine="602"/>
        <w:jc w:val="left"/>
        <w:rPr>
          <w:rFonts w:ascii="仿宋_GB2312" w:eastAsia="仿宋_GB2312" w:hAnsi="仿宋" w:cs="Times New Roman"/>
          <w:b/>
          <w:sz w:val="30"/>
          <w:szCs w:val="30"/>
        </w:rPr>
      </w:pPr>
      <w:r>
        <w:rPr>
          <w:rFonts w:ascii="仿宋_GB2312" w:eastAsia="仿宋_GB2312" w:hAnsi="仿宋" w:cs="Times New Roman" w:hint="eastAsia"/>
          <w:b/>
          <w:sz w:val="30"/>
          <w:szCs w:val="30"/>
        </w:rPr>
        <w:lastRenderedPageBreak/>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《上海证券交易所港股通投资者风险揭示书必备条款》</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widowControl/>
        <w:spacing w:line="360" w:lineRule="auto"/>
        <w:ind w:firstLineChars="150" w:firstLine="450"/>
        <w:rPr>
          <w:rFonts w:hAnsi="仿宋"/>
          <w:bCs/>
        </w:rPr>
      </w:pPr>
      <w:r>
        <w:rPr>
          <w:rFonts w:hAnsi="仿宋" w:hint="eastAsia"/>
          <w:bCs/>
        </w:rPr>
        <w:t>1.</w:t>
      </w:r>
      <w:r>
        <w:rPr>
          <w:rFonts w:hAnsi="仿宋"/>
          <w:bCs/>
        </w:rPr>
        <w:t>2022</w:t>
      </w:r>
      <w:r>
        <w:rPr>
          <w:rFonts w:hAnsi="仿宋" w:hint="eastAsia"/>
          <w:bCs/>
        </w:rPr>
        <w:t>年6月24日</w:t>
      </w:r>
    </w:p>
    <w:p w:rsidR="00F96FB1" w:rsidRDefault="00D33884">
      <w:pPr>
        <w:spacing w:line="360" w:lineRule="auto"/>
        <w:rPr>
          <w:rFonts w:hAnsi="仿宋"/>
          <w:bCs/>
        </w:rPr>
      </w:pPr>
      <w:r>
        <w:rPr>
          <w:rFonts w:hAnsi="仿宋" w:hint="eastAsia"/>
          <w:bCs/>
        </w:rPr>
        <w:t>1.1</w:t>
      </w:r>
      <w:r>
        <w:rPr>
          <w:rFonts w:hAnsi="仿宋" w:hint="eastAsia"/>
          <w:b/>
        </w:rPr>
        <w:t>修改</w:t>
      </w:r>
      <w:r>
        <w:rPr>
          <w:rFonts w:hAnsi="仿宋" w:hint="eastAsia"/>
          <w:bCs/>
        </w:rPr>
        <w:t>第二条：</w:t>
      </w:r>
    </w:p>
    <w:p w:rsidR="00F96FB1" w:rsidRDefault="00D33884">
      <w:pPr>
        <w:spacing w:line="360" w:lineRule="auto"/>
      </w:pPr>
      <w:r>
        <w:rPr>
          <w:rFonts w:hint="eastAsia"/>
        </w:rPr>
        <w:t>二、投资者可以通过港股通买卖的</w:t>
      </w:r>
      <w:r>
        <w:rPr>
          <w:rFonts w:hint="eastAsia"/>
          <w:strike/>
        </w:rPr>
        <w:t>股票</w:t>
      </w:r>
      <w:r>
        <w:rPr>
          <w:rFonts w:hint="eastAsia"/>
          <w:b/>
          <w:bCs/>
          <w:u w:val="single"/>
        </w:rPr>
        <w:t>标的证券</w:t>
      </w:r>
      <w:r>
        <w:rPr>
          <w:rFonts w:hint="eastAsia"/>
        </w:rPr>
        <w:t>存在一定的范围限制，且港股通</w:t>
      </w:r>
      <w:r>
        <w:rPr>
          <w:rFonts w:hint="eastAsia"/>
          <w:strike/>
        </w:rPr>
        <w:t>股票</w:t>
      </w:r>
      <w:r>
        <w:rPr>
          <w:rFonts w:hint="eastAsia"/>
          <w:b/>
          <w:bCs/>
          <w:u w:val="single"/>
        </w:rPr>
        <w:t>标的证券</w:t>
      </w:r>
      <w:r>
        <w:rPr>
          <w:rFonts w:hint="eastAsia"/>
        </w:rPr>
        <w:t>名单会动态调整。投资者应当关注最新的港股通</w:t>
      </w:r>
      <w:r>
        <w:rPr>
          <w:rFonts w:hint="eastAsia"/>
          <w:strike/>
        </w:rPr>
        <w:t>股票</w:t>
      </w:r>
      <w:r>
        <w:rPr>
          <w:rFonts w:hint="eastAsia"/>
          <w:b/>
          <w:bCs/>
          <w:u w:val="single"/>
        </w:rPr>
        <w:t>标的证券</w:t>
      </w:r>
      <w:r>
        <w:rPr>
          <w:rFonts w:hint="eastAsia"/>
        </w:rPr>
        <w:t>名单。对于被调出的港股通</w:t>
      </w:r>
      <w:r>
        <w:rPr>
          <w:rFonts w:hint="eastAsia"/>
          <w:strike/>
        </w:rPr>
        <w:t>股票</w:t>
      </w:r>
      <w:r>
        <w:rPr>
          <w:rFonts w:hint="eastAsia"/>
          <w:b/>
          <w:bCs/>
          <w:u w:val="single"/>
        </w:rPr>
        <w:t>标的证券</w:t>
      </w:r>
      <w:r>
        <w:rPr>
          <w:rFonts w:hint="eastAsia"/>
        </w:rPr>
        <w:t>，自调整之日起，投资者将不得再行买入。</w:t>
      </w:r>
    </w:p>
    <w:p w:rsidR="00F96FB1" w:rsidRDefault="00D33884">
      <w:pPr>
        <w:spacing w:line="360" w:lineRule="auto"/>
        <w:ind w:leftChars="200" w:left="600" w:firstLineChars="0" w:firstLine="0"/>
        <w:rPr>
          <w:rFonts w:hAnsi="仿宋"/>
          <w:bCs/>
        </w:rPr>
      </w:pPr>
      <w:r>
        <w:rPr>
          <w:rFonts w:hint="eastAsia"/>
        </w:rPr>
        <w:t>1.2</w:t>
      </w:r>
      <w:r>
        <w:rPr>
          <w:rFonts w:hint="eastAsia"/>
          <w:b/>
          <w:bCs/>
        </w:rPr>
        <w:t>修改</w:t>
      </w:r>
      <w:r>
        <w:rPr>
          <w:rFonts w:hint="eastAsia"/>
        </w:rPr>
        <w:t>第三条：</w:t>
      </w:r>
    </w:p>
    <w:p w:rsidR="00F96FB1" w:rsidRDefault="00D33884">
      <w:pPr>
        <w:spacing w:line="360" w:lineRule="auto"/>
      </w:pPr>
      <w:r>
        <w:rPr>
          <w:rFonts w:hint="eastAsia"/>
        </w:rPr>
        <w:t>三、港股通股票可能出现因公司基本面变化、</w:t>
      </w:r>
      <w:r>
        <w:rPr>
          <w:rFonts w:hint="eastAsia"/>
          <w:color w:val="000000"/>
        </w:rPr>
        <w:t>第三方研究分析报告的观点、</w:t>
      </w:r>
      <w:r>
        <w:rPr>
          <w:rFonts w:hint="eastAsia"/>
        </w:rPr>
        <w:t>异常交易情形、做空机制等原因而引起股价较大波动的情形</w:t>
      </w:r>
      <w:r>
        <w:rPr>
          <w:rFonts w:hint="eastAsia"/>
          <w:b/>
          <w:bCs/>
          <w:u w:val="single"/>
        </w:rPr>
        <w:t>；港股通ETF可能出现因跟踪标的指数成份证券大幅波动、流动性不佳、受有关场外结构化产品影响、交易异常情形等原因而引起价格较大波动、折溢价率和跟踪误差偏离合理区间等情形</w:t>
      </w:r>
      <w:r>
        <w:rPr>
          <w:rFonts w:hint="eastAsia"/>
        </w:rPr>
        <w:t>，尤其是考虑到香港联合交易所有限公司（以下简称联交所）市场</w:t>
      </w:r>
      <w:r>
        <w:rPr>
          <w:rFonts w:hint="eastAsia"/>
          <w:b/>
          <w:bCs/>
          <w:u w:val="single"/>
        </w:rPr>
        <w:t>股票及ETF</w:t>
      </w:r>
      <w:r>
        <w:rPr>
          <w:rFonts w:hint="eastAsia"/>
        </w:rPr>
        <w:t>交易不设置涨跌幅限制，投资者应关注可能产生的风险。</w:t>
      </w:r>
    </w:p>
    <w:p w:rsidR="00F96FB1" w:rsidRDefault="00D33884">
      <w:pPr>
        <w:spacing w:line="360" w:lineRule="auto"/>
        <w:ind w:leftChars="200" w:left="600" w:firstLineChars="0" w:firstLine="0"/>
        <w:rPr>
          <w:rFonts w:hAnsi="仿宋"/>
          <w:bCs/>
        </w:rPr>
      </w:pPr>
      <w:r>
        <w:rPr>
          <w:rFonts w:hint="eastAsia"/>
        </w:rPr>
        <w:t>1.3</w:t>
      </w:r>
      <w:r>
        <w:rPr>
          <w:rFonts w:hint="eastAsia"/>
          <w:b/>
          <w:bCs/>
        </w:rPr>
        <w:t>修改</w:t>
      </w:r>
      <w:r>
        <w:rPr>
          <w:rFonts w:hint="eastAsia"/>
        </w:rPr>
        <w:t>第七条：</w:t>
      </w:r>
    </w:p>
    <w:p w:rsidR="00F96FB1" w:rsidRDefault="00D33884">
      <w:pPr>
        <w:numPr>
          <w:ilvl w:val="0"/>
          <w:numId w:val="2"/>
        </w:numPr>
        <w:spacing w:line="360" w:lineRule="auto"/>
      </w:pPr>
      <w:r>
        <w:rPr>
          <w:rFonts w:hint="eastAsia"/>
        </w:rPr>
        <w:t>联交所市场</w:t>
      </w:r>
      <w:r>
        <w:rPr>
          <w:rFonts w:hint="eastAsia"/>
          <w:strike/>
        </w:rPr>
        <w:t>股票</w:t>
      </w:r>
      <w:r>
        <w:rPr>
          <w:rFonts w:hint="eastAsia"/>
          <w:b/>
          <w:bCs/>
          <w:u w:val="single"/>
        </w:rPr>
        <w:t>证券</w:t>
      </w:r>
      <w:r>
        <w:rPr>
          <w:rFonts w:hint="eastAsia"/>
        </w:rPr>
        <w:t>停牌制度与内地证券市场相比存在一定差异，港股通</w:t>
      </w:r>
      <w:r>
        <w:rPr>
          <w:rFonts w:hint="eastAsia"/>
          <w:strike/>
        </w:rPr>
        <w:t>股票</w:t>
      </w:r>
      <w:r>
        <w:rPr>
          <w:rFonts w:hint="eastAsia"/>
          <w:b/>
          <w:bCs/>
          <w:u w:val="single"/>
        </w:rPr>
        <w:t>标的证券</w:t>
      </w:r>
      <w:r>
        <w:rPr>
          <w:rFonts w:hint="eastAsia"/>
        </w:rPr>
        <w:t>可能出现长时间停牌现象，投资者应关注可能产生的风险。</w:t>
      </w:r>
    </w:p>
    <w:p w:rsidR="00F96FB1" w:rsidRDefault="00D33884">
      <w:pPr>
        <w:numPr>
          <w:ilvl w:val="255"/>
          <w:numId w:val="0"/>
        </w:numPr>
        <w:spacing w:line="360" w:lineRule="auto"/>
        <w:ind w:leftChars="200" w:left="600"/>
      </w:pPr>
      <w:r>
        <w:rPr>
          <w:rFonts w:hint="eastAsia"/>
        </w:rPr>
        <w:lastRenderedPageBreak/>
        <w:t>1.4</w:t>
      </w:r>
      <w:r>
        <w:rPr>
          <w:rFonts w:hint="eastAsia"/>
          <w:b/>
          <w:bCs/>
        </w:rPr>
        <w:t>新增</w:t>
      </w:r>
      <w:r>
        <w:rPr>
          <w:rFonts w:hint="eastAsia"/>
        </w:rPr>
        <w:t>第九条，其后条款相应顺延：</w:t>
      </w:r>
    </w:p>
    <w:p w:rsidR="00F96FB1" w:rsidRDefault="00D33884">
      <w:pPr>
        <w:spacing w:line="360" w:lineRule="auto"/>
      </w:pPr>
      <w:r>
        <w:rPr>
          <w:rFonts w:hint="eastAsia"/>
        </w:rPr>
        <w:t>九、与内地证券市场相比，香港市场ETF终止上市或更换基金管理人等制度安排存在一定差异，港股通ETF可能因基金管理人主动退出香港市场导致终止上市或更换基金管理人，投资者应当关注可能产生的风险。</w:t>
      </w:r>
    </w:p>
    <w:p w:rsidR="00F96FB1" w:rsidRDefault="00D33884">
      <w:pPr>
        <w:numPr>
          <w:ilvl w:val="255"/>
          <w:numId w:val="0"/>
        </w:numPr>
        <w:spacing w:line="360" w:lineRule="auto"/>
        <w:ind w:firstLineChars="200" w:firstLine="600"/>
      </w:pPr>
      <w:r>
        <w:rPr>
          <w:rFonts w:hint="eastAsia"/>
        </w:rPr>
        <w:t>1.5</w:t>
      </w:r>
      <w:r>
        <w:rPr>
          <w:rFonts w:hint="eastAsia"/>
          <w:b/>
          <w:bCs/>
        </w:rPr>
        <w:t>新增</w:t>
      </w:r>
      <w:r>
        <w:rPr>
          <w:rFonts w:hint="eastAsia"/>
        </w:rPr>
        <w:t>第十一条，其后条款相应顺延：</w:t>
      </w:r>
    </w:p>
    <w:p w:rsidR="00F96FB1" w:rsidRDefault="00D33884">
      <w:pPr>
        <w:spacing w:line="360" w:lineRule="auto"/>
      </w:pPr>
      <w:r>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rsidR="00F96FB1" w:rsidRDefault="00D33884">
      <w:pPr>
        <w:numPr>
          <w:ilvl w:val="255"/>
          <w:numId w:val="0"/>
        </w:numPr>
        <w:spacing w:line="360" w:lineRule="auto"/>
        <w:ind w:firstLineChars="200" w:firstLine="600"/>
      </w:pPr>
      <w:r>
        <w:rPr>
          <w:rFonts w:hint="eastAsia"/>
        </w:rPr>
        <w:t>1.6</w:t>
      </w:r>
      <w:r>
        <w:rPr>
          <w:rFonts w:hint="eastAsia"/>
          <w:b/>
          <w:bCs/>
        </w:rPr>
        <w:t>修改</w:t>
      </w:r>
      <w:r>
        <w:rPr>
          <w:rFonts w:hint="eastAsia"/>
        </w:rPr>
        <w:t>现第十九条（原第十七条）：</w:t>
      </w:r>
    </w:p>
    <w:p w:rsidR="00F96FB1" w:rsidRDefault="00D33884">
      <w:pPr>
        <w:numPr>
          <w:ilvl w:val="0"/>
          <w:numId w:val="3"/>
        </w:numPr>
        <w:spacing w:line="360" w:lineRule="auto"/>
      </w:pPr>
      <w:r>
        <w:rPr>
          <w:rFonts w:hint="eastAsia"/>
        </w:rPr>
        <w:t>港股通股票</w:t>
      </w:r>
      <w:r>
        <w:rPr>
          <w:rFonts w:hint="eastAsia"/>
          <w:b/>
          <w:bCs/>
          <w:u w:val="single"/>
        </w:rPr>
        <w:t>、港股通有并行买卖的ETF</w:t>
      </w:r>
      <w:r>
        <w:rPr>
          <w:rFonts w:hint="eastAsia"/>
        </w:rPr>
        <w:t>实施</w:t>
      </w:r>
      <w:r>
        <w:rPr>
          <w:rFonts w:hint="eastAsia"/>
          <w:strike/>
        </w:rPr>
        <w:t>股份</w:t>
      </w:r>
      <w:r>
        <w:rPr>
          <w:rFonts w:hint="eastAsia"/>
        </w:rPr>
        <w:t>分拆合并期间，港股通投资者持有的该</w:t>
      </w:r>
      <w:r>
        <w:rPr>
          <w:rFonts w:hint="eastAsia"/>
          <w:strike/>
        </w:rPr>
        <w:t>股票</w:t>
      </w:r>
      <w:r>
        <w:rPr>
          <w:rFonts w:hint="eastAsia"/>
          <w:b/>
          <w:bCs/>
          <w:u w:val="single"/>
        </w:rPr>
        <w:t>证券</w:t>
      </w:r>
      <w:r>
        <w:rPr>
          <w:rFonts w:hint="eastAsia"/>
        </w:rPr>
        <w:t>只在临时代码单柜交易末日、临时代码与新代码并行交易末日由临时代码转换为新代码。由于临时代码与原代码交易单位不同而可能产生碎股，投资者应关注可能产生的风险。</w:t>
      </w:r>
    </w:p>
    <w:p w:rsidR="00F96FB1" w:rsidRDefault="00D33884">
      <w:pPr>
        <w:numPr>
          <w:ilvl w:val="255"/>
          <w:numId w:val="0"/>
        </w:numPr>
        <w:spacing w:line="360" w:lineRule="auto"/>
        <w:ind w:firstLineChars="200" w:firstLine="600"/>
      </w:pPr>
      <w:r>
        <w:rPr>
          <w:rFonts w:hint="eastAsia"/>
        </w:rPr>
        <w:t>1.7</w:t>
      </w:r>
      <w:r>
        <w:rPr>
          <w:rFonts w:hint="eastAsia"/>
          <w:b/>
          <w:bCs/>
        </w:rPr>
        <w:t>修改</w:t>
      </w:r>
      <w:r>
        <w:rPr>
          <w:rFonts w:hint="eastAsia"/>
        </w:rPr>
        <w:t>现第二十条（原第十八条）：</w:t>
      </w:r>
    </w:p>
    <w:p w:rsidR="00F96FB1" w:rsidRDefault="00D33884">
      <w:pPr>
        <w:spacing w:line="360" w:lineRule="auto"/>
      </w:pPr>
      <w:r>
        <w:rPr>
          <w:rFonts w:hint="eastAsia"/>
        </w:rPr>
        <w:t>二十、港股通股票</w:t>
      </w:r>
      <w:r>
        <w:rPr>
          <w:rFonts w:hint="eastAsia"/>
          <w:b/>
          <w:bCs/>
          <w:u w:val="single"/>
        </w:rPr>
        <w:t>、港股通有并行买卖的ETF</w:t>
      </w:r>
      <w:r>
        <w:rPr>
          <w:rFonts w:hint="eastAsia"/>
        </w:rPr>
        <w:t>变更交易单位时，在实施原代码和临时代码并行交易期间，根据有关港股通</w:t>
      </w:r>
      <w:r>
        <w:rPr>
          <w:rFonts w:hint="eastAsia"/>
          <w:strike/>
        </w:rPr>
        <w:t>股票</w:t>
      </w:r>
      <w:r>
        <w:rPr>
          <w:rFonts w:hint="eastAsia"/>
          <w:b/>
          <w:bCs/>
          <w:u w:val="single"/>
        </w:rPr>
        <w:t>标的证券</w:t>
      </w:r>
      <w:r>
        <w:rPr>
          <w:rFonts w:hint="eastAsia"/>
        </w:rPr>
        <w:t>在境内的登记结算安排，港股通业务仅提供原代码的交易服务，暂不提供临时代码交易服务。由于临时代码与原代码交易单位不同而可能产生碎股，投资者应关注可能产生的风险。</w:t>
      </w:r>
    </w:p>
    <w:p w:rsidR="00F96FB1" w:rsidRDefault="00D33884">
      <w:pPr>
        <w:spacing w:line="360" w:lineRule="auto"/>
      </w:pPr>
      <w:r>
        <w:rPr>
          <w:rFonts w:hint="eastAsia"/>
        </w:rPr>
        <w:lastRenderedPageBreak/>
        <w:t>1.8</w:t>
      </w:r>
      <w:r>
        <w:rPr>
          <w:rFonts w:hint="eastAsia"/>
          <w:b/>
          <w:bCs/>
        </w:rPr>
        <w:t>修改</w:t>
      </w:r>
      <w:r>
        <w:rPr>
          <w:rFonts w:hint="eastAsia"/>
        </w:rPr>
        <w:t>现第二十一条（原第十九条）：</w:t>
      </w:r>
    </w:p>
    <w:p w:rsidR="00F96FB1" w:rsidRDefault="00D33884">
      <w:pPr>
        <w:spacing w:line="360" w:lineRule="auto"/>
      </w:pPr>
      <w:r>
        <w:rPr>
          <w:rFonts w:hint="eastAsia"/>
        </w:rPr>
        <w:t>二十一、投资者当日买入的港股通</w:t>
      </w:r>
      <w:r>
        <w:rPr>
          <w:rFonts w:hint="eastAsia"/>
          <w:strike/>
        </w:rPr>
        <w:t>股票</w:t>
      </w:r>
      <w:r>
        <w:rPr>
          <w:rFonts w:hint="eastAsia"/>
          <w:b/>
          <w:bCs/>
          <w:u w:val="single"/>
        </w:rPr>
        <w:t>标的证券</w:t>
      </w:r>
      <w:r>
        <w:rPr>
          <w:rFonts w:hint="eastAsia"/>
        </w:rPr>
        <w:t>，经确认成交后，在交收前即可卖出，投资者应当关注因此可能产生的风险。</w:t>
      </w:r>
    </w:p>
    <w:p w:rsidR="00F96FB1" w:rsidRDefault="00D33884">
      <w:pPr>
        <w:spacing w:line="360" w:lineRule="auto"/>
      </w:pPr>
      <w:r>
        <w:rPr>
          <w:rFonts w:hint="eastAsia"/>
        </w:rPr>
        <w:t>1.9</w:t>
      </w:r>
      <w:r>
        <w:rPr>
          <w:rFonts w:hint="eastAsia"/>
          <w:b/>
          <w:bCs/>
        </w:rPr>
        <w:t>修改</w:t>
      </w:r>
      <w:r>
        <w:rPr>
          <w:rFonts w:hint="eastAsia"/>
        </w:rPr>
        <w:t>现第二十二条（原第二十条）:</w:t>
      </w:r>
    </w:p>
    <w:p w:rsidR="00F96FB1" w:rsidRDefault="00D33884">
      <w:pPr>
        <w:spacing w:line="360" w:lineRule="auto"/>
      </w:pPr>
      <w:r>
        <w:rPr>
          <w:rFonts w:hint="eastAsia"/>
        </w:rPr>
        <w:t>二十二、与内地证券市场相比，联交所在订单申报的最小交易价差、每手</w:t>
      </w:r>
      <w:r>
        <w:rPr>
          <w:rFonts w:hint="eastAsia"/>
          <w:strike/>
        </w:rPr>
        <w:t>股数</w:t>
      </w:r>
      <w:r>
        <w:rPr>
          <w:rFonts w:hint="eastAsia"/>
          <w:b/>
          <w:bCs/>
          <w:u w:val="single"/>
        </w:rPr>
        <w:t>证券数量</w:t>
      </w:r>
      <w:r>
        <w:rPr>
          <w:rFonts w:hint="eastAsia"/>
        </w:rPr>
        <w:t>、申报最大限制等方面存在一定的差异，投资者应当关注因此可能产生的风险。</w:t>
      </w:r>
    </w:p>
    <w:p w:rsidR="00F96FB1" w:rsidRDefault="00D33884">
      <w:pPr>
        <w:spacing w:line="360" w:lineRule="auto"/>
      </w:pPr>
      <w:r>
        <w:rPr>
          <w:rFonts w:hint="eastAsia"/>
        </w:rPr>
        <w:t>1.10</w:t>
      </w:r>
      <w:r>
        <w:rPr>
          <w:rFonts w:hint="eastAsia"/>
          <w:b/>
          <w:bCs/>
        </w:rPr>
        <w:t>修改</w:t>
      </w:r>
      <w:r>
        <w:rPr>
          <w:rFonts w:hint="eastAsia"/>
        </w:rPr>
        <w:t>现第二十四条（原第二十二条）:</w:t>
      </w:r>
    </w:p>
    <w:p w:rsidR="00F96FB1" w:rsidRDefault="00D33884">
      <w:pPr>
        <w:spacing w:line="360" w:lineRule="auto"/>
      </w:pPr>
      <w:r>
        <w:rPr>
          <w:rFonts w:hint="eastAsia"/>
        </w:rPr>
        <w:t>二十四、港股通</w:t>
      </w:r>
      <w:r>
        <w:rPr>
          <w:rFonts w:hint="eastAsia"/>
          <w:strike/>
        </w:rPr>
        <w:t>股票</w:t>
      </w:r>
      <w:r>
        <w:rPr>
          <w:rFonts w:hint="eastAsia"/>
          <w:b/>
          <w:bCs/>
          <w:u w:val="single"/>
        </w:rPr>
        <w:t>标的证券</w:t>
      </w:r>
      <w:r>
        <w:rPr>
          <w:rFonts w:hint="eastAsia"/>
        </w:rPr>
        <w:t>交易不设置涨跌幅限制，但根据联交所业务规则，适用市场波动调节机制的港股通</w:t>
      </w:r>
      <w:r>
        <w:rPr>
          <w:rFonts w:hint="eastAsia"/>
          <w:strike/>
        </w:rPr>
        <w:t>股票</w:t>
      </w:r>
      <w:r>
        <w:rPr>
          <w:rFonts w:hint="eastAsia"/>
          <w:b/>
          <w:bCs/>
          <w:u w:val="single"/>
        </w:rPr>
        <w:t>标的证券</w:t>
      </w:r>
      <w:r>
        <w:rPr>
          <w:rFonts w:hint="eastAsia"/>
        </w:rPr>
        <w:t>的买卖申报可能受到价格限制，投资者应当关注因此可能产生的风险。</w:t>
      </w:r>
    </w:p>
    <w:p w:rsidR="00F96FB1" w:rsidRDefault="00D33884">
      <w:pPr>
        <w:spacing w:line="360" w:lineRule="auto"/>
      </w:pPr>
      <w:r>
        <w:rPr>
          <w:rFonts w:hint="eastAsia"/>
        </w:rPr>
        <w:t>1.11</w:t>
      </w:r>
      <w:r>
        <w:rPr>
          <w:rFonts w:hint="eastAsia"/>
          <w:b/>
          <w:bCs/>
        </w:rPr>
        <w:t>修改</w:t>
      </w:r>
      <w:r>
        <w:rPr>
          <w:rFonts w:hint="eastAsia"/>
        </w:rPr>
        <w:t>现第二十五条（原第二十三条）：</w:t>
      </w:r>
    </w:p>
    <w:p w:rsidR="00F96FB1" w:rsidRDefault="00D33884">
      <w:pPr>
        <w:spacing w:line="360" w:lineRule="auto"/>
      </w:pPr>
      <w:r>
        <w:rPr>
          <w:rFonts w:hint="eastAsia"/>
        </w:rPr>
        <w:t>二十五、对于适用收市竞价交易的港股通</w:t>
      </w:r>
      <w:r>
        <w:rPr>
          <w:rFonts w:hint="eastAsia"/>
          <w:strike/>
        </w:rPr>
        <w:t>股票</w:t>
      </w:r>
      <w:r>
        <w:rPr>
          <w:rFonts w:hint="eastAsia"/>
          <w:b/>
          <w:bCs/>
          <w:u w:val="single"/>
        </w:rPr>
        <w:t>标的证券</w:t>
      </w:r>
      <w:r>
        <w:rPr>
          <w:rFonts w:hint="eastAsia"/>
        </w:rPr>
        <w:t>，根据联交所业务规则，收市竞价交易时段的买卖申报将受到价格限制，投资者应当关注因此可能产生的风险。</w:t>
      </w:r>
    </w:p>
    <w:p w:rsidR="00F96FB1" w:rsidRDefault="00D33884">
      <w:pPr>
        <w:spacing w:line="360" w:lineRule="auto"/>
      </w:pPr>
      <w:r>
        <w:rPr>
          <w:rFonts w:hint="eastAsia"/>
        </w:rPr>
        <w:t>1.12</w:t>
      </w:r>
      <w:r>
        <w:rPr>
          <w:rFonts w:hint="eastAsia"/>
          <w:b/>
          <w:bCs/>
        </w:rPr>
        <w:t>修改</w:t>
      </w:r>
      <w:r>
        <w:rPr>
          <w:rFonts w:hint="eastAsia"/>
        </w:rPr>
        <w:t>现第二十六条（原第二十四条）：</w:t>
      </w:r>
    </w:p>
    <w:p w:rsidR="00F96FB1" w:rsidRDefault="00D33884">
      <w:pPr>
        <w:spacing w:line="360" w:lineRule="auto"/>
      </w:pPr>
      <w:r>
        <w:rPr>
          <w:rFonts w:hint="eastAsia"/>
        </w:rPr>
        <w:t>二十六、对于适用开市前时段的港股通</w:t>
      </w:r>
      <w:r>
        <w:rPr>
          <w:rFonts w:hint="eastAsia"/>
          <w:strike/>
        </w:rPr>
        <w:t>股票</w:t>
      </w:r>
      <w:r>
        <w:rPr>
          <w:rFonts w:hint="eastAsia"/>
          <w:b/>
          <w:bCs/>
          <w:u w:val="single"/>
        </w:rPr>
        <w:t>标的证券</w:t>
      </w:r>
      <w:r>
        <w:rPr>
          <w:rFonts w:hint="eastAsia"/>
        </w:rPr>
        <w:t>，根据联交所业务规则，开市前时段的买卖申报将受到价格限制，投资者应当关注因此可能产生的风险。</w:t>
      </w:r>
    </w:p>
    <w:p w:rsidR="00F96FB1" w:rsidRDefault="00D33884">
      <w:pPr>
        <w:spacing w:line="360" w:lineRule="auto"/>
      </w:pPr>
      <w:r>
        <w:rPr>
          <w:rFonts w:hint="eastAsia"/>
        </w:rPr>
        <w:t>1.13</w:t>
      </w:r>
      <w:r>
        <w:rPr>
          <w:rFonts w:hint="eastAsia"/>
          <w:b/>
          <w:bCs/>
        </w:rPr>
        <w:t>修改</w:t>
      </w:r>
      <w:r>
        <w:rPr>
          <w:rFonts w:hint="eastAsia"/>
        </w:rPr>
        <w:t>现第二十八条（原第二十六条）：</w:t>
      </w:r>
    </w:p>
    <w:p w:rsidR="00F96FB1" w:rsidRDefault="00D33884">
      <w:pPr>
        <w:spacing w:line="360" w:lineRule="auto"/>
      </w:pPr>
      <w:r>
        <w:rPr>
          <w:rFonts w:hint="eastAsia"/>
        </w:rPr>
        <w:t>二十八、在香港证券市场，</w:t>
      </w:r>
      <w:r>
        <w:rPr>
          <w:rFonts w:hint="eastAsia"/>
          <w:strike/>
        </w:rPr>
        <w:t>股票</w:t>
      </w:r>
      <w:r>
        <w:rPr>
          <w:rFonts w:hint="eastAsia"/>
          <w:b/>
          <w:bCs/>
          <w:u w:val="single"/>
        </w:rPr>
        <w:t>证券</w:t>
      </w:r>
      <w:r>
        <w:rPr>
          <w:rFonts w:hint="eastAsia"/>
        </w:rPr>
        <w:t>价格上涨时，</w:t>
      </w:r>
      <w:r>
        <w:rPr>
          <w:rFonts w:hint="eastAsia"/>
          <w:strike/>
        </w:rPr>
        <w:t>股票</w:t>
      </w:r>
      <w:r>
        <w:rPr>
          <w:rFonts w:hint="eastAsia"/>
          <w:b/>
          <w:bCs/>
          <w:u w:val="single"/>
        </w:rPr>
        <w:t>证券</w:t>
      </w:r>
      <w:r>
        <w:rPr>
          <w:rFonts w:hint="eastAsia"/>
        </w:rPr>
        <w:lastRenderedPageBreak/>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rsidR="00F96FB1" w:rsidRDefault="00D33884">
      <w:pPr>
        <w:spacing w:line="360" w:lineRule="auto"/>
      </w:pPr>
      <w:r>
        <w:rPr>
          <w:rFonts w:hint="eastAsia"/>
        </w:rPr>
        <w:t>1.14</w:t>
      </w:r>
      <w:r>
        <w:rPr>
          <w:rFonts w:hint="eastAsia"/>
          <w:b/>
          <w:bCs/>
        </w:rPr>
        <w:t>修改</w:t>
      </w:r>
      <w:r>
        <w:rPr>
          <w:rFonts w:hint="eastAsia"/>
        </w:rPr>
        <w:t>现第二十九条（原第二十七条）：</w:t>
      </w:r>
    </w:p>
    <w:p w:rsidR="00F96FB1" w:rsidRDefault="00D33884">
      <w:pPr>
        <w:spacing w:line="360" w:lineRule="auto"/>
      </w:pPr>
      <w:r>
        <w:rPr>
          <w:rFonts w:hint="eastAsia"/>
        </w:rPr>
        <w:t>二十九、投资者因港股通</w:t>
      </w:r>
      <w:r>
        <w:rPr>
          <w:rFonts w:hint="eastAsia"/>
          <w:strike/>
        </w:rPr>
        <w:t>股票</w:t>
      </w:r>
      <w:r>
        <w:rPr>
          <w:rFonts w:hint="eastAsia"/>
          <w:b/>
          <w:bCs/>
          <w:u w:val="single"/>
        </w:rPr>
        <w:t>标的证券</w:t>
      </w:r>
      <w:r>
        <w:rPr>
          <w:rFonts w:hint="eastAsia"/>
        </w:rPr>
        <w:t>权益分派、转换、</w:t>
      </w:r>
      <w:r>
        <w:rPr>
          <w:rFonts w:hint="eastAsia"/>
          <w:strike/>
        </w:rPr>
        <w:t>上市公司被</w:t>
      </w:r>
      <w:r>
        <w:rPr>
          <w:rFonts w:hint="eastAsia"/>
        </w:rPr>
        <w:t>收购等情形或者异常情况，所取得的港股通</w:t>
      </w:r>
      <w:r>
        <w:rPr>
          <w:rFonts w:hint="eastAsia"/>
          <w:strike/>
        </w:rPr>
        <w:t>股票</w:t>
      </w:r>
      <w:r>
        <w:rPr>
          <w:rFonts w:hint="eastAsia"/>
          <w:b/>
          <w:bCs/>
          <w:u w:val="single"/>
        </w:rPr>
        <w:t>标的证券</w:t>
      </w:r>
      <w:r>
        <w:rPr>
          <w:rFonts w:hint="eastAsia"/>
        </w:rPr>
        <w:t>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w:t>
      </w:r>
      <w:r>
        <w:rPr>
          <w:rFonts w:hint="eastAsia"/>
          <w:strike/>
        </w:rPr>
        <w:t>股票</w:t>
      </w:r>
      <w:r>
        <w:rPr>
          <w:rFonts w:hint="eastAsia"/>
          <w:b/>
          <w:bCs/>
          <w:u w:val="single"/>
        </w:rPr>
        <w:t>标的证券</w:t>
      </w:r>
      <w:r>
        <w:rPr>
          <w:rFonts w:hint="eastAsia"/>
        </w:rPr>
        <w:t>权益分派、转换或</w:t>
      </w:r>
      <w:r>
        <w:rPr>
          <w:rFonts w:hint="eastAsia"/>
          <w:strike/>
        </w:rPr>
        <w:t>上市公司被</w:t>
      </w:r>
      <w:r>
        <w:rPr>
          <w:rFonts w:hint="eastAsia"/>
        </w:rPr>
        <w:t>收购等所取得的非联交所上市证券，可以享有相关权益，但不得通过港股通买入或卖出。</w:t>
      </w:r>
    </w:p>
    <w:p w:rsidR="00F96FB1" w:rsidRDefault="00D33884">
      <w:pPr>
        <w:spacing w:line="360" w:lineRule="auto"/>
      </w:pPr>
      <w:r>
        <w:rPr>
          <w:rFonts w:hint="eastAsia"/>
        </w:rPr>
        <w:t>1.15</w:t>
      </w:r>
      <w:r>
        <w:rPr>
          <w:rFonts w:hint="eastAsia"/>
          <w:b/>
          <w:bCs/>
        </w:rPr>
        <w:t>修改</w:t>
      </w:r>
      <w:r>
        <w:rPr>
          <w:rFonts w:hint="eastAsia"/>
        </w:rPr>
        <w:t>现第三十一条（原第二十九条）：</w:t>
      </w:r>
    </w:p>
    <w:p w:rsidR="00F96FB1" w:rsidRDefault="00D33884">
      <w:pPr>
        <w:spacing w:line="360" w:lineRule="auto"/>
      </w:pPr>
      <w:r>
        <w:rPr>
          <w:rFonts w:hint="eastAsia"/>
        </w:rPr>
        <w:t>三十一、投资者通过港股通业务暂不能参与新股发行认购、超额供股和超额公开配售</w:t>
      </w:r>
      <w:r>
        <w:rPr>
          <w:rFonts w:hint="eastAsia"/>
          <w:b/>
          <w:bCs/>
          <w:u w:val="single"/>
        </w:rPr>
        <w:t>，以及ETF发行认购和申购赎回</w:t>
      </w:r>
      <w:r>
        <w:rPr>
          <w:rFonts w:hint="eastAsia"/>
        </w:rPr>
        <w:t>。</w:t>
      </w:r>
    </w:p>
    <w:p w:rsidR="00F96FB1" w:rsidRDefault="00D33884">
      <w:pPr>
        <w:spacing w:line="360" w:lineRule="auto"/>
      </w:pPr>
      <w:r>
        <w:rPr>
          <w:rFonts w:hint="eastAsia"/>
        </w:rPr>
        <w:t>1.16</w:t>
      </w:r>
      <w:r>
        <w:rPr>
          <w:rFonts w:hint="eastAsia"/>
          <w:b/>
          <w:bCs/>
        </w:rPr>
        <w:t>修改</w:t>
      </w:r>
      <w:r>
        <w:rPr>
          <w:rFonts w:hint="eastAsia"/>
        </w:rPr>
        <w:t>现第三十二条（原第三十条）：</w:t>
      </w:r>
    </w:p>
    <w:p w:rsidR="00F96FB1" w:rsidRDefault="00D33884">
      <w:pPr>
        <w:spacing w:line="360" w:lineRule="auto"/>
      </w:pPr>
      <w:r>
        <w:rPr>
          <w:rFonts w:hint="eastAsia"/>
        </w:rPr>
        <w:t>三十二、对于在联交所上市公司派发的现金红利</w:t>
      </w:r>
      <w:r>
        <w:rPr>
          <w:rFonts w:hint="eastAsia"/>
          <w:b/>
          <w:bCs/>
          <w:u w:val="single"/>
        </w:rPr>
        <w:t>或联交所上市ETF进行的收益分配</w:t>
      </w:r>
      <w:r>
        <w:rPr>
          <w:rFonts w:hint="eastAsia"/>
        </w:rPr>
        <w:t>，由于中国结算需要在收到香港结算派发的外币红利资金后进行换汇、清算、发放等业务处理，投资者通过港股通业务获得的现金红利将会较香港市场有所延后。</w:t>
      </w:r>
    </w:p>
    <w:p w:rsidR="00F96FB1" w:rsidRDefault="00D33884">
      <w:pPr>
        <w:spacing w:line="360" w:lineRule="auto"/>
      </w:pPr>
      <w:r>
        <w:rPr>
          <w:rFonts w:hint="eastAsia"/>
        </w:rPr>
        <w:t>1.17</w:t>
      </w:r>
      <w:r>
        <w:rPr>
          <w:rFonts w:hint="eastAsia"/>
          <w:b/>
          <w:bCs/>
        </w:rPr>
        <w:t>修改</w:t>
      </w:r>
      <w:r>
        <w:rPr>
          <w:rFonts w:hint="eastAsia"/>
        </w:rPr>
        <w:t>现第三十五条（原第三十三条）：</w:t>
      </w:r>
    </w:p>
    <w:p w:rsidR="00F96FB1" w:rsidRDefault="00D33884">
      <w:pPr>
        <w:spacing w:line="360" w:lineRule="auto"/>
      </w:pPr>
      <w:r>
        <w:rPr>
          <w:rFonts w:hint="eastAsia"/>
        </w:rPr>
        <w:lastRenderedPageBreak/>
        <w:t>三十五、对于在联交所上市公司派发的红股以及</w:t>
      </w:r>
      <w:r>
        <w:rPr>
          <w:rFonts w:hint="eastAsia"/>
          <w:strike/>
        </w:rPr>
        <w:t>股份</w:t>
      </w:r>
      <w:r>
        <w:rPr>
          <w:rFonts w:hint="eastAsia"/>
          <w:b/>
          <w:bCs/>
          <w:u w:val="single"/>
        </w:rPr>
        <w:t>港股通标的证券</w:t>
      </w:r>
      <w:r>
        <w:rPr>
          <w:rFonts w:hint="eastAsia"/>
        </w:rPr>
        <w:t>分拆及合并业务产生的零碎</w:t>
      </w:r>
      <w:r>
        <w:rPr>
          <w:rFonts w:hint="eastAsia"/>
          <w:strike/>
        </w:rPr>
        <w:t>股</w:t>
      </w:r>
      <w:r>
        <w:rPr>
          <w:rFonts w:hint="eastAsia"/>
          <w:b/>
          <w:bCs/>
          <w:u w:val="single"/>
        </w:rPr>
        <w:t>证券</w:t>
      </w:r>
      <w:r>
        <w:rPr>
          <w:rFonts w:hint="eastAsia"/>
        </w:rPr>
        <w:t>，中国结算对投资者账户中小于1</w:t>
      </w:r>
      <w:r>
        <w:rPr>
          <w:rFonts w:hint="eastAsia"/>
          <w:strike/>
        </w:rPr>
        <w:t>股</w:t>
      </w:r>
      <w:r>
        <w:rPr>
          <w:rFonts w:hint="eastAsia"/>
          <w:b/>
          <w:bCs/>
          <w:u w:val="single"/>
        </w:rPr>
        <w:t>单位</w:t>
      </w:r>
      <w:r>
        <w:rPr>
          <w:rFonts w:hint="eastAsia"/>
        </w:rPr>
        <w:t>的零碎</w:t>
      </w:r>
      <w:r>
        <w:rPr>
          <w:rFonts w:hint="eastAsia"/>
          <w:strike/>
        </w:rPr>
        <w:t>股</w:t>
      </w:r>
      <w:r>
        <w:rPr>
          <w:rFonts w:hint="eastAsia"/>
          <w:b/>
          <w:bCs/>
          <w:u w:val="single"/>
        </w:rPr>
        <w:t>证券</w:t>
      </w:r>
      <w:r>
        <w:rPr>
          <w:rFonts w:hint="eastAsia"/>
        </w:rPr>
        <w:t>进行舍尾处理。当香港结算发放的红股总数或分拆、合并</w:t>
      </w:r>
      <w:r>
        <w:rPr>
          <w:rFonts w:hint="eastAsia"/>
          <w:strike/>
        </w:rPr>
        <w:t>股票</w:t>
      </w:r>
      <w:r>
        <w:rPr>
          <w:rFonts w:hint="eastAsia"/>
          <w:b/>
          <w:bCs/>
          <w:u w:val="single"/>
        </w:rPr>
        <w:t>证券</w:t>
      </w:r>
      <w:r>
        <w:rPr>
          <w:rFonts w:hint="eastAsia"/>
        </w:rPr>
        <w:t>数额大于投资者账户舍尾取整后的总数的，中国结算按照精确算法分配差额部分。</w:t>
      </w:r>
    </w:p>
    <w:p w:rsidR="00F96FB1" w:rsidRDefault="00D33884">
      <w:pPr>
        <w:spacing w:line="360" w:lineRule="auto"/>
      </w:pPr>
      <w:r>
        <w:rPr>
          <w:rFonts w:hint="eastAsia"/>
        </w:rPr>
        <w:t>1.18</w:t>
      </w:r>
      <w:r>
        <w:rPr>
          <w:rFonts w:hint="eastAsia"/>
          <w:b/>
          <w:bCs/>
        </w:rPr>
        <w:t>修改</w:t>
      </w:r>
      <w:r>
        <w:rPr>
          <w:rFonts w:hint="eastAsia"/>
        </w:rPr>
        <w:t>现第三十九条（原第三十七条）：</w:t>
      </w:r>
    </w:p>
    <w:p w:rsidR="00F96FB1" w:rsidRDefault="00D33884">
      <w:pPr>
        <w:spacing w:line="360" w:lineRule="auto"/>
      </w:pPr>
      <w:r>
        <w:rPr>
          <w:rFonts w:hint="eastAsia"/>
        </w:rPr>
        <w:t>三十九、香港市场收费标准与内地市场收费标准不同，香港地区与内地在税收安排方面也存在差异，投资者买卖港股通</w:t>
      </w:r>
      <w:r>
        <w:rPr>
          <w:rFonts w:hint="eastAsia"/>
          <w:strike/>
        </w:rPr>
        <w:t>股票</w:t>
      </w:r>
      <w:r>
        <w:rPr>
          <w:rFonts w:hint="eastAsia"/>
          <w:b/>
          <w:bCs/>
          <w:u w:val="single"/>
        </w:rPr>
        <w:t>标的证券</w:t>
      </w:r>
      <w:r>
        <w:rPr>
          <w:rFonts w:hint="eastAsia"/>
        </w:rPr>
        <w:t>，应当按照香港市场有关规定交纳相关费用，并按照香港地区相关规定缴纳税款。</w:t>
      </w:r>
    </w:p>
    <w:p w:rsidR="00F96FB1" w:rsidRDefault="00F96FB1">
      <w:pPr>
        <w:spacing w:line="360" w:lineRule="auto"/>
      </w:pPr>
    </w:p>
    <w:p w:rsidR="00F96FB1" w:rsidRDefault="00F96FB1">
      <w:pPr>
        <w:spacing w:line="360" w:lineRule="auto"/>
      </w:pPr>
    </w:p>
    <w:p w:rsidR="00F96FB1" w:rsidRDefault="00F96FB1">
      <w:pPr>
        <w:spacing w:line="360" w:lineRule="auto"/>
      </w:pPr>
    </w:p>
    <w:p w:rsidR="00F96FB1" w:rsidRDefault="00F96FB1">
      <w:pPr>
        <w:spacing w:line="360" w:lineRule="auto"/>
        <w:ind w:firstLineChars="0" w:firstLine="0"/>
      </w:pPr>
    </w:p>
    <w:p w:rsidR="00F96FB1" w:rsidRDefault="00F96FB1">
      <w:pPr>
        <w:numPr>
          <w:ilvl w:val="255"/>
          <w:numId w:val="0"/>
        </w:numPr>
        <w:spacing w:line="360" w:lineRule="auto"/>
      </w:pPr>
    </w:p>
    <w:p w:rsidR="00F96FB1" w:rsidRDefault="00D33884">
      <w:pPr>
        <w:numPr>
          <w:ilvl w:val="255"/>
          <w:numId w:val="0"/>
        </w:numPr>
        <w:spacing w:line="360" w:lineRule="auto"/>
        <w:rPr>
          <w:rFonts w:ascii="宋体" w:eastAsia="宋体" w:hAnsi="宋体"/>
          <w:b/>
        </w:rPr>
      </w:pPr>
      <w:r>
        <w:br w:type="page"/>
      </w:r>
    </w:p>
    <w:p w:rsidR="00F96FB1" w:rsidRDefault="00D33884">
      <w:pPr>
        <w:pStyle w:val="2"/>
        <w:rPr>
          <w:sz w:val="36"/>
          <w:szCs w:val="36"/>
        </w:rPr>
      </w:pPr>
      <w:bookmarkStart w:id="31" w:name="_Toc117606500"/>
      <w:r>
        <w:rPr>
          <w:sz w:val="36"/>
          <w:szCs w:val="36"/>
        </w:rPr>
        <w:lastRenderedPageBreak/>
        <w:t>1.</w:t>
      </w:r>
      <w:r>
        <w:rPr>
          <w:rFonts w:hint="eastAsia"/>
          <w:sz w:val="36"/>
          <w:szCs w:val="36"/>
        </w:rPr>
        <w:t>8上海证券交易所沪伦通存托凭证投资者风险揭示书必备条款</w:t>
      </w:r>
      <w:bookmarkEnd w:id="31"/>
    </w:p>
    <w:p w:rsidR="00F96FB1" w:rsidRDefault="00D33884">
      <w:pPr>
        <w:spacing w:line="360" w:lineRule="auto"/>
        <w:ind w:firstLine="480"/>
        <w:jc w:val="center"/>
        <w:rPr>
          <w:color w:val="000000"/>
          <w:sz w:val="24"/>
          <w:szCs w:val="24"/>
        </w:rPr>
      </w:pPr>
      <w:r>
        <w:rPr>
          <w:rFonts w:hint="eastAsia"/>
          <w:sz w:val="24"/>
          <w:szCs w:val="24"/>
        </w:rPr>
        <w:t>（2018年11月2日发布）</w:t>
      </w:r>
    </w:p>
    <w:p w:rsidR="00F96FB1" w:rsidRDefault="00F96FB1">
      <w:pPr>
        <w:widowControl/>
        <w:shd w:val="clear" w:color="auto" w:fill="FFFFFF"/>
        <w:adjustRightInd w:val="0"/>
        <w:snapToGrid w:val="0"/>
        <w:spacing w:line="360" w:lineRule="auto"/>
        <w:ind w:firstLine="480"/>
        <w:rPr>
          <w:rFonts w:ascii="微软雅黑" w:eastAsia="微软雅黑" w:hAnsi="微软雅黑" w:cs="宋体"/>
          <w:sz w:val="24"/>
          <w:szCs w:val="24"/>
        </w:rPr>
      </w:pPr>
    </w:p>
    <w:p w:rsidR="00F96FB1" w:rsidRDefault="00D33884">
      <w:pPr>
        <w:spacing w:line="360" w:lineRule="auto"/>
        <w:rPr>
          <w:rFonts w:hAnsi="仿宋"/>
          <w:color w:val="000000"/>
        </w:rPr>
      </w:pPr>
      <w:r>
        <w:rPr>
          <w:rFonts w:hAnsi="仿宋" w:hint="eastAsia"/>
          <w:color w:val="000000"/>
        </w:rPr>
        <w:t>为使投资者充分了解上海证券交易所（以下简称本所）与伦敦证券交易所（以下简称伦交所）互联互通中国</w:t>
      </w:r>
      <w:r>
        <w:rPr>
          <w:rFonts w:hAnsi="仿宋" w:hint="eastAsia"/>
        </w:rPr>
        <w:t>存托凭证（以下简称中国</w:t>
      </w:r>
      <w:r>
        <w:rPr>
          <w:rFonts w:hAnsi="仿宋" w:hint="eastAsia"/>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rsidR="00F96FB1" w:rsidRDefault="00D33884">
      <w:pPr>
        <w:spacing w:line="360" w:lineRule="auto"/>
        <w:ind w:firstLine="602"/>
        <w:rPr>
          <w:rFonts w:ascii="黑体" w:eastAsia="黑体" w:hAnsi="黑体"/>
          <w:b/>
        </w:rPr>
      </w:pPr>
      <w:r>
        <w:rPr>
          <w:rFonts w:ascii="黑体" w:eastAsia="黑体" w:hAnsi="黑体" w:hint="eastAsia"/>
          <w:b/>
        </w:rPr>
        <w:t>一、与境外基础证券发行人相关的风险</w:t>
      </w:r>
    </w:p>
    <w:p w:rsidR="00F96FB1" w:rsidRDefault="00D33884">
      <w:pPr>
        <w:spacing w:line="360" w:lineRule="auto"/>
        <w:rPr>
          <w:rFonts w:hAnsi="仿宋"/>
        </w:rPr>
      </w:pPr>
      <w:r>
        <w:rPr>
          <w:rFonts w:hAnsi="仿宋" w:hint="eastAsia"/>
        </w:rPr>
        <w:t>（一）中国存托凭证对应的境外基础证券发行人（以下简称境外发行人）在境外注册设立并在伦交所上市交易基础股票，其股权结构、公司治理、运行规范等事项适用境外注册地公司法等法律法规规定的，</w:t>
      </w:r>
      <w:r>
        <w:rPr>
          <w:rFonts w:ascii="仿宋" w:eastAsia="仿宋" w:hAnsi="仿宋" w:hint="eastAsia"/>
        </w:rPr>
        <w:t>关于</w:t>
      </w:r>
      <w:r>
        <w:rPr>
          <w:rFonts w:hAnsi="仿宋" w:hint="eastAsia"/>
        </w:rPr>
        <w:t>投资者权利及其行使的规定可能与境内市场存在一定差异。此外，境内中国存托凭证持有人享有的权益还可能受到境外相关法律法规变化的影响。</w:t>
      </w:r>
    </w:p>
    <w:p w:rsidR="00F96FB1" w:rsidRDefault="00D33884">
      <w:pPr>
        <w:spacing w:line="360" w:lineRule="auto"/>
        <w:rPr>
          <w:rFonts w:hAnsi="仿宋"/>
        </w:rPr>
      </w:pPr>
      <w:r>
        <w:rPr>
          <w:rFonts w:hAnsi="仿宋" w:hint="eastAsia"/>
        </w:rPr>
        <w:t>（二）境外发行人的股票类别、股东权利、股东大会、董事会、董事及高级管理人员的设置及权限、股东大会或者董事会的决议程序、公司利润分配政策、反收购措施安排等事项，可能与</w:t>
      </w:r>
      <w:r>
        <w:rPr>
          <w:rFonts w:hAnsi="仿宋" w:hint="eastAsia"/>
        </w:rPr>
        <w:lastRenderedPageBreak/>
        <w:t>境内上市公司治理制度存在较大差异，中国存托凭证持有人的权利及其行使可能受到不同程度的限制。</w:t>
      </w:r>
    </w:p>
    <w:p w:rsidR="00F96FB1" w:rsidRDefault="00D33884">
      <w:pPr>
        <w:spacing w:line="360" w:lineRule="auto"/>
        <w:rPr>
          <w:rFonts w:hAnsi="仿宋"/>
        </w:rPr>
      </w:pPr>
      <w:r>
        <w:rPr>
          <w:rFonts w:hAnsi="仿宋" w:hint="eastAsia"/>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rsidR="00F96FB1" w:rsidRDefault="00D33884">
      <w:pPr>
        <w:spacing w:line="360" w:lineRule="auto"/>
        <w:rPr>
          <w:rFonts w:hAnsi="仿宋"/>
        </w:rPr>
      </w:pPr>
      <w:r>
        <w:rPr>
          <w:rFonts w:hAnsi="仿宋" w:hint="eastAsia"/>
        </w:rPr>
        <w:t>（四）由于存托人是在汇总中国存托凭证持有人的意愿后再行使基础股票的股东权利，存托人对中国存托凭证持有人设定的意愿征集期的截止时间可能比境外发行人股东大会的召开时间稍早，意愿征集期间时长也可能与境内</w:t>
      </w:r>
      <w:r>
        <w:rPr>
          <w:rFonts w:hAnsi="仿宋"/>
        </w:rPr>
        <w:t>A股上市公司股东投票期间存在差异。</w:t>
      </w:r>
    </w:p>
    <w:p w:rsidR="00F96FB1" w:rsidRDefault="00D33884">
      <w:pPr>
        <w:spacing w:line="360" w:lineRule="auto"/>
        <w:ind w:firstLineChars="198" w:firstLine="594"/>
        <w:rPr>
          <w:rFonts w:hAnsi="仿宋"/>
        </w:rPr>
      </w:pPr>
      <w:r>
        <w:rPr>
          <w:rFonts w:hAnsi="仿宋" w:hint="eastAsia"/>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rsidR="00F96FB1" w:rsidRDefault="00D33884">
      <w:pPr>
        <w:spacing w:line="360" w:lineRule="auto"/>
        <w:ind w:firstLineChars="198" w:firstLine="594"/>
        <w:rPr>
          <w:rFonts w:hAnsi="仿宋"/>
        </w:rPr>
      </w:pPr>
      <w:r>
        <w:rPr>
          <w:rFonts w:hAnsi="仿宋" w:hint="eastAsia"/>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rPr>
        <w:t>1月1日至12月31日，例如可能为每年4月1日至次年的3月31日。相应地，境外发行人披露定期报告的时点也可能与境内上市公司有所差异。</w:t>
      </w:r>
    </w:p>
    <w:p w:rsidR="00F96FB1" w:rsidRDefault="00D33884">
      <w:pPr>
        <w:spacing w:line="360" w:lineRule="auto"/>
        <w:rPr>
          <w:rFonts w:hAnsi="仿宋"/>
        </w:rPr>
      </w:pPr>
      <w:r>
        <w:rPr>
          <w:rFonts w:hAnsi="仿宋" w:hint="eastAsia"/>
        </w:rPr>
        <w:lastRenderedPageBreak/>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rsidR="00F96FB1" w:rsidRDefault="00D33884">
      <w:pPr>
        <w:spacing w:line="360" w:lineRule="auto"/>
        <w:rPr>
          <w:rFonts w:hAnsi="仿宋"/>
        </w:rPr>
      </w:pPr>
      <w:r>
        <w:rPr>
          <w:rFonts w:hAnsi="仿宋" w:hint="eastAsia"/>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rPr>
        <w:t>A股上市公司信息披露的惯常做法存在差异。</w:t>
      </w:r>
    </w:p>
    <w:p w:rsidR="00F96FB1" w:rsidRDefault="00D33884">
      <w:pPr>
        <w:spacing w:line="360" w:lineRule="auto"/>
        <w:rPr>
          <w:rFonts w:hAnsi="仿宋"/>
        </w:rPr>
      </w:pPr>
      <w:r>
        <w:rPr>
          <w:rFonts w:hAnsi="仿宋" w:hint="eastAsia"/>
        </w:rPr>
        <w:t>（九）境外发行人在境内市场发布的信息披露文件须使用中文，但公司注册文件、其他法律文件可能使用英文或其他语言。</w:t>
      </w:r>
    </w:p>
    <w:p w:rsidR="00F96FB1" w:rsidRDefault="00D33884">
      <w:pPr>
        <w:spacing w:line="360" w:lineRule="auto"/>
        <w:rPr>
          <w:rFonts w:hAnsi="仿宋"/>
        </w:rPr>
      </w:pPr>
      <w:r>
        <w:rPr>
          <w:rFonts w:hAnsi="仿宋" w:hint="eastAsia"/>
        </w:rPr>
        <w:t>（十）境外发行人可能仅在境内市场上市交易较小规模的中国存托凭证，其大部分或者绝大部分的表决权由境外股东等持有，境内中国存托凭证持有人所持表决权仅占较小比例。</w:t>
      </w:r>
      <w:r>
        <w:rPr>
          <w:rFonts w:hAnsi="仿宋"/>
        </w:rPr>
        <w:t xml:space="preserve"> </w:t>
      </w:r>
    </w:p>
    <w:p w:rsidR="00F96FB1" w:rsidRDefault="00D33884">
      <w:pPr>
        <w:spacing w:line="360" w:lineRule="auto"/>
        <w:rPr>
          <w:rFonts w:hAnsi="仿宋"/>
        </w:rPr>
      </w:pPr>
      <w:r>
        <w:rPr>
          <w:rFonts w:hAnsi="仿宋" w:hint="eastAsia"/>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w:t>
      </w:r>
      <w:r>
        <w:rPr>
          <w:rFonts w:hAnsi="仿宋" w:hint="eastAsia"/>
        </w:rPr>
        <w:lastRenderedPageBreak/>
        <w:t>分红公告计算的预期金额存在一定差异。</w:t>
      </w:r>
    </w:p>
    <w:p w:rsidR="00F96FB1" w:rsidRDefault="00D33884">
      <w:pPr>
        <w:spacing w:line="360" w:lineRule="auto"/>
        <w:rPr>
          <w:rFonts w:hAnsi="仿宋"/>
        </w:rPr>
      </w:pPr>
      <w:r>
        <w:rPr>
          <w:rFonts w:hAnsi="仿宋" w:hint="eastAsia"/>
        </w:rPr>
        <w:t>（十二）境外发行人决定送股后，将存在由存托机构生成存托凭证等业务流程，可能导致境内中国存托凭证持有人取得送股的时间较境外有所延迟。</w:t>
      </w:r>
    </w:p>
    <w:p w:rsidR="00F96FB1" w:rsidRDefault="00D33884">
      <w:pPr>
        <w:spacing w:line="360" w:lineRule="auto"/>
        <w:rPr>
          <w:rFonts w:hAnsi="仿宋"/>
        </w:rPr>
      </w:pPr>
      <w:r>
        <w:rPr>
          <w:rFonts w:hAnsi="仿宋" w:hint="eastAsia"/>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rsidR="00F96FB1" w:rsidRDefault="00D33884">
      <w:pPr>
        <w:spacing w:line="360" w:lineRule="auto"/>
        <w:ind w:firstLineChars="198" w:firstLine="594"/>
        <w:rPr>
          <w:rFonts w:hAnsi="仿宋"/>
        </w:rPr>
      </w:pPr>
      <w:r>
        <w:rPr>
          <w:rFonts w:hAnsi="仿宋" w:hint="eastAsia"/>
        </w:rPr>
        <w:t>（十四）境外发行人进行分红派息等公司行为，可能因注册地法律制度和相关政策，被征收相关税费，使投资回报受到一定影响。投资者需仔细阅读境外发行人披露的文件，了解税费事项及征收途径。</w:t>
      </w:r>
    </w:p>
    <w:p w:rsidR="00F96FB1" w:rsidRDefault="00D33884">
      <w:pPr>
        <w:spacing w:line="360" w:lineRule="auto"/>
        <w:rPr>
          <w:rFonts w:hAnsi="仿宋"/>
        </w:rPr>
      </w:pPr>
      <w:r>
        <w:rPr>
          <w:rFonts w:hAnsi="仿宋" w:hint="eastAsia"/>
        </w:rPr>
        <w:t>（十五）中国存托凭证持有人可以依据境内《证券法》提起证券诉讼，但可能无法直接作为境外发行人境外注册地或者在伦敦市场的投资者，依据当地法律制度提起证券诉讼。</w:t>
      </w:r>
      <w:r>
        <w:rPr>
          <w:rFonts w:hAnsi="仿宋"/>
        </w:rPr>
        <w:t xml:space="preserve"> </w:t>
      </w:r>
    </w:p>
    <w:p w:rsidR="00F96FB1" w:rsidRDefault="00D33884">
      <w:pPr>
        <w:spacing w:line="360" w:lineRule="auto"/>
        <w:rPr>
          <w:rFonts w:hAnsi="黑体"/>
          <w:b/>
          <w:color w:val="000000"/>
        </w:rPr>
      </w:pPr>
      <w:r>
        <w:rPr>
          <w:rFonts w:hAnsi="仿宋" w:hint="eastAsia"/>
        </w:rPr>
        <w:lastRenderedPageBreak/>
        <w:t>（十六）中国存托凭证持有人是否可以根据境内法律在境内法院获得以境外发行人为被告的诉讼裁决执行，取决于我国与境外发行人注册地国家或者地区的司法协助安排等。</w:t>
      </w:r>
    </w:p>
    <w:p w:rsidR="00F96FB1" w:rsidRDefault="00D33884">
      <w:pPr>
        <w:spacing w:line="360" w:lineRule="auto"/>
        <w:ind w:firstLine="602"/>
        <w:rPr>
          <w:rFonts w:ascii="黑体" w:eastAsia="黑体" w:hAnsi="黑体"/>
          <w:b/>
        </w:rPr>
      </w:pPr>
      <w:r>
        <w:rPr>
          <w:rFonts w:ascii="黑体" w:eastAsia="黑体" w:hAnsi="黑体" w:hint="eastAsia"/>
          <w:b/>
        </w:rPr>
        <w:t>二、与存托凭证相关的风险</w:t>
      </w:r>
    </w:p>
    <w:p w:rsidR="00F96FB1" w:rsidRDefault="00D33884">
      <w:pPr>
        <w:autoSpaceDE w:val="0"/>
        <w:autoSpaceDN w:val="0"/>
        <w:adjustRightInd w:val="0"/>
        <w:spacing w:line="360" w:lineRule="auto"/>
        <w:rPr>
          <w:rFonts w:hAnsi="仿宋"/>
          <w:color w:val="000000"/>
        </w:rPr>
      </w:pPr>
      <w:r>
        <w:rPr>
          <w:rFonts w:hAnsi="仿宋" w:hint="eastAsia"/>
        </w:rPr>
        <w:t>（十七）中国存托凭证是</w:t>
      </w:r>
      <w:r>
        <w:rPr>
          <w:rFonts w:hAnsi="仿宋" w:hint="eastAsia"/>
          <w:color w:val="00000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rsidR="00F96FB1" w:rsidRDefault="00D33884">
      <w:pPr>
        <w:spacing w:line="360" w:lineRule="auto"/>
        <w:rPr>
          <w:rFonts w:hAnsi="仿宋"/>
        </w:rPr>
      </w:pPr>
      <w:r>
        <w:rPr>
          <w:rFonts w:hAnsi="仿宋" w:hint="eastAsia"/>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rsidR="00F96FB1" w:rsidRDefault="00D33884">
      <w:pPr>
        <w:spacing w:line="360" w:lineRule="auto"/>
        <w:rPr>
          <w:rFonts w:hAnsi="仿宋"/>
        </w:rPr>
      </w:pPr>
      <w:r>
        <w:rPr>
          <w:rFonts w:hAnsi="仿宋" w:hint="eastAsia"/>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w:t>
      </w:r>
      <w:r>
        <w:rPr>
          <w:rFonts w:hAnsi="仿宋" w:hint="eastAsia"/>
        </w:rPr>
        <w:lastRenderedPageBreak/>
        <w:t>无法单独要求境外发行人或者存托人对存托协议作出额外修改。</w:t>
      </w:r>
    </w:p>
    <w:p w:rsidR="00F96FB1" w:rsidRDefault="00D33884">
      <w:pPr>
        <w:spacing w:line="360" w:lineRule="auto"/>
        <w:rPr>
          <w:rFonts w:hAnsi="仿宋"/>
        </w:rPr>
      </w:pPr>
      <w:r>
        <w:rPr>
          <w:rFonts w:hAnsi="仿宋" w:hint="eastAsia"/>
        </w:rPr>
        <w:t>（二十）中国存托凭证持有人不是境外发行人登记在册的股东，不能以股东身份直接行使股东权利；中国存托凭证持有人仅能根据存托协议的约定，通过存托人享有并行使分红、投票等权利。</w:t>
      </w:r>
    </w:p>
    <w:p w:rsidR="00F96FB1" w:rsidRDefault="00D33884">
      <w:pPr>
        <w:spacing w:line="360" w:lineRule="auto"/>
        <w:rPr>
          <w:rFonts w:hAnsi="仿宋"/>
        </w:rPr>
      </w:pPr>
      <w:r>
        <w:rPr>
          <w:rFonts w:hAnsi="仿宋" w:hint="eastAsia"/>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rsidR="00F96FB1" w:rsidRDefault="00D33884">
      <w:pPr>
        <w:spacing w:line="360" w:lineRule="auto"/>
        <w:rPr>
          <w:rFonts w:hAnsi="仿宋"/>
        </w:rPr>
      </w:pPr>
      <w:r>
        <w:rPr>
          <w:rFonts w:hAnsi="仿宋" w:hint="eastAsia"/>
        </w:rPr>
        <w:t>（二十二）在存续期间，中国存托凭证对应的境外基础证券等财产可能出现被质押、挪用、司法冻结、强制执行等情形，投资者可能存在失去应有权利的风险。</w:t>
      </w:r>
    </w:p>
    <w:p w:rsidR="00F96FB1" w:rsidRDefault="00D33884">
      <w:pPr>
        <w:autoSpaceDE w:val="0"/>
        <w:autoSpaceDN w:val="0"/>
        <w:adjustRightInd w:val="0"/>
        <w:spacing w:line="360" w:lineRule="auto"/>
        <w:rPr>
          <w:rFonts w:hAnsi="仿宋"/>
          <w:color w:val="000000"/>
        </w:rPr>
      </w:pPr>
      <w:r>
        <w:rPr>
          <w:rFonts w:hAnsi="仿宋" w:hint="eastAsia"/>
        </w:rPr>
        <w:t>（二十三）</w:t>
      </w:r>
      <w:r>
        <w:rPr>
          <w:rFonts w:hAnsi="仿宋" w:hint="eastAsia"/>
          <w:color w:val="000000"/>
        </w:rPr>
        <w:t>存托人可能向中国存托凭证持有人收取存托凭证相关费用，投资者应当充分了解中国存托凭证的相关收费项目和标准。</w:t>
      </w:r>
    </w:p>
    <w:p w:rsidR="00F96FB1" w:rsidRDefault="00D33884">
      <w:pPr>
        <w:spacing w:line="360" w:lineRule="auto"/>
        <w:ind w:firstLineChars="198" w:firstLine="594"/>
        <w:rPr>
          <w:rFonts w:hAnsi="仿宋"/>
        </w:rPr>
      </w:pPr>
      <w:r>
        <w:rPr>
          <w:rFonts w:hAnsi="仿宋" w:hint="eastAsia"/>
        </w:rPr>
        <w:t>（二十四）中国存托凭证的暂停上市、终止上市情形、程序等将由本所另行作出规定，并可能与</w:t>
      </w:r>
      <w:r>
        <w:rPr>
          <w:rFonts w:hAnsi="仿宋"/>
        </w:rPr>
        <w:t>A股存在差异，投资者应当充分了解并关注相关风险。</w:t>
      </w:r>
    </w:p>
    <w:p w:rsidR="00F96FB1" w:rsidRDefault="00D33884">
      <w:pPr>
        <w:spacing w:line="360" w:lineRule="auto"/>
        <w:rPr>
          <w:rFonts w:hAnsi="仿宋"/>
        </w:rPr>
      </w:pPr>
      <w:r>
        <w:rPr>
          <w:rFonts w:hAnsi="仿宋" w:hint="eastAsia"/>
        </w:rPr>
        <w:t>（二十五）中国存托凭证终止上市的，投资者可能面临存托人无法根据存托协议的约定卖出基础证券、投资者持有的中国存</w:t>
      </w:r>
      <w:r>
        <w:rPr>
          <w:rFonts w:hAnsi="仿宋" w:hint="eastAsia"/>
        </w:rPr>
        <w:lastRenderedPageBreak/>
        <w:t>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rsidR="00F96FB1" w:rsidRDefault="00D33884">
      <w:pPr>
        <w:spacing w:line="360" w:lineRule="auto"/>
        <w:ind w:firstLine="602"/>
        <w:rPr>
          <w:rFonts w:ascii="黑体" w:eastAsia="黑体" w:hAnsi="黑体"/>
          <w:b/>
        </w:rPr>
      </w:pPr>
      <w:r>
        <w:rPr>
          <w:rFonts w:ascii="黑体" w:eastAsia="黑体" w:hAnsi="黑体" w:hint="eastAsia"/>
          <w:b/>
        </w:rPr>
        <w:t>三、与中国存托凭证交易机制相关的风险</w:t>
      </w:r>
    </w:p>
    <w:p w:rsidR="00F96FB1" w:rsidRDefault="00D33884">
      <w:pPr>
        <w:spacing w:line="360" w:lineRule="auto"/>
        <w:rPr>
          <w:rFonts w:hAnsi="仿宋"/>
        </w:rPr>
      </w:pPr>
      <w:r>
        <w:rPr>
          <w:rFonts w:hAnsi="黑体" w:hint="eastAsia"/>
          <w:color w:val="000000"/>
        </w:rPr>
        <w:t>（二十六）</w:t>
      </w:r>
      <w:r>
        <w:rPr>
          <w:rFonts w:hAnsi="仿宋" w:hint="eastAsia"/>
        </w:rPr>
        <w:t>初始生成阶段，跨境转换机构可以与合格投资者协商达成</w:t>
      </w:r>
      <w:r>
        <w:rPr>
          <w:rFonts w:hint="eastAsia"/>
        </w:rPr>
        <w:t>通过大宗交易等方式转让中国存托凭证的约定</w:t>
      </w:r>
      <w:r>
        <w:rPr>
          <w:rFonts w:hAnsi="仿宋" w:hint="eastAsia"/>
        </w:rPr>
        <w:t>，但协议订立到实际履行具有一定的时间间隔，其间基础股票价格可能发生变动，并对中国存托凭证的投资价值及上市后的交易价格产生影响。</w:t>
      </w:r>
    </w:p>
    <w:p w:rsidR="00F96FB1" w:rsidRDefault="00D33884">
      <w:pPr>
        <w:spacing w:line="360" w:lineRule="auto"/>
        <w:rPr>
          <w:rFonts w:hAnsi="仿宋"/>
        </w:rPr>
      </w:pPr>
      <w:r>
        <w:rPr>
          <w:rFonts w:hAnsi="仿宋" w:hint="eastAsia"/>
        </w:rPr>
        <w:t>（二十七）与境内</w:t>
      </w:r>
      <w:r>
        <w:rPr>
          <w:rFonts w:hAnsi="仿宋"/>
        </w:rPr>
        <w:t>A股的交易机制不同，中国存托凭证交易实行在竞价交易制度下引入竞争性做市商的混合交易机制，做市商根据规则要求履行双边报价等义务。</w:t>
      </w:r>
    </w:p>
    <w:p w:rsidR="00F96FB1" w:rsidRDefault="00D33884">
      <w:pPr>
        <w:spacing w:line="360" w:lineRule="auto"/>
        <w:rPr>
          <w:rFonts w:hAnsi="仿宋"/>
        </w:rPr>
      </w:pPr>
      <w:r>
        <w:rPr>
          <w:rFonts w:hAnsi="仿宋" w:hint="eastAsia"/>
        </w:rPr>
        <w:t>（二十八）境内外市场证券停复牌制度存在差异，中国存托凭证与境外基础证券可能出现在一个市场正常交易而在另一个市场实施停牌等现象。</w:t>
      </w:r>
    </w:p>
    <w:p w:rsidR="00F96FB1" w:rsidRDefault="00D33884">
      <w:pPr>
        <w:pStyle w:val="-11"/>
        <w:spacing w:line="360" w:lineRule="auto"/>
        <w:ind w:firstLineChars="0"/>
        <w:rPr>
          <w:rFonts w:ascii="仿宋_GB2312" w:eastAsia="仿宋_GB2312"/>
          <w:sz w:val="30"/>
          <w:szCs w:val="30"/>
        </w:rPr>
      </w:pPr>
      <w:r>
        <w:rPr>
          <w:rFonts w:ascii="仿宋_GB2312" w:eastAsia="仿宋_GB2312" w:hAnsi="仿宋" w:hint="eastAsia"/>
          <w:sz w:val="30"/>
          <w:szCs w:val="30"/>
        </w:rPr>
        <w:t>（二十九）</w:t>
      </w:r>
      <w:r>
        <w:rPr>
          <w:rFonts w:ascii="仿宋_GB2312" w:eastAsia="仿宋_GB2312" w:hint="eastAsia"/>
          <w:sz w:val="30"/>
          <w:szCs w:val="30"/>
        </w:rPr>
        <w:t>中国存托凭证的价格涨跌幅限制与A股不完全相同，本所全天休市达到或者超过7个自然日的，其后首个交易日的涨跌幅比例为20%。</w:t>
      </w:r>
    </w:p>
    <w:p w:rsidR="00F96FB1" w:rsidRDefault="00D33884">
      <w:pPr>
        <w:spacing w:line="360" w:lineRule="auto"/>
        <w:rPr>
          <w:rFonts w:hAnsi="仿宋"/>
        </w:rPr>
      </w:pPr>
      <w:r>
        <w:rPr>
          <w:rFonts w:hAnsi="仿宋" w:hint="eastAsia"/>
        </w:rPr>
        <w:t>（三十）中国存托凭证可以与基础股票进行跨境转换，但初期仅符合条件的跨境转换机构能够进行跨境转换，暂不接受投资</w:t>
      </w:r>
      <w:r>
        <w:rPr>
          <w:rFonts w:hAnsi="仿宋" w:hint="eastAsia"/>
        </w:rPr>
        <w:lastRenderedPageBreak/>
        <w:t>者委托，因此投资者暂无法参与跨境转换。</w:t>
      </w:r>
    </w:p>
    <w:p w:rsidR="00F96FB1" w:rsidRDefault="00D33884">
      <w:pPr>
        <w:spacing w:line="360" w:lineRule="auto"/>
        <w:rPr>
          <w:rFonts w:hAnsi="仿宋"/>
        </w:rPr>
      </w:pPr>
      <w:r>
        <w:rPr>
          <w:rFonts w:hAnsi="仿宋" w:hint="eastAsia"/>
        </w:rPr>
        <w:t>未来投资者可以参与跨境转换后，应当关注因跨境转换具有一定周期和成本，其间基础证券或者中国存托凭证价格变化、汇率变化等因素可能导致跨境转换产生亏损。</w:t>
      </w:r>
    </w:p>
    <w:p w:rsidR="00F96FB1" w:rsidRDefault="00D33884">
      <w:pPr>
        <w:spacing w:line="360" w:lineRule="auto"/>
        <w:rPr>
          <w:rFonts w:hAnsi="仿宋"/>
        </w:rPr>
      </w:pPr>
      <w:r>
        <w:rPr>
          <w:rFonts w:hAnsi="仿宋" w:hint="eastAsia"/>
        </w:rPr>
        <w:t>（三十一）中国存托凭证跨境转换在特定情形下将暂停办理，并可能对市场流动性、交易价格造成一定影响。例如，境外发行人发生权益分派、召开股东大会等公司行为时，存托人将在一定期间内暂停办理中国存托凭证生成和兑回业务；中国存托凭证数量达到中国证监会核准的上限、本所休市等情形下，存托人将暂停办理中国存托凭证生成业务。</w:t>
      </w:r>
      <w:r>
        <w:rPr>
          <w:rFonts w:hAnsi="仿宋"/>
        </w:rPr>
        <w:t xml:space="preserve"> </w:t>
      </w:r>
    </w:p>
    <w:p w:rsidR="00F96FB1" w:rsidRDefault="00D33884">
      <w:pPr>
        <w:spacing w:line="360" w:lineRule="auto"/>
        <w:rPr>
          <w:rFonts w:hAnsi="仿宋"/>
        </w:rPr>
      </w:pPr>
      <w:r>
        <w:rPr>
          <w:rFonts w:hAnsi="仿宋" w:hint="eastAsia"/>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rsidR="00F96FB1" w:rsidRDefault="00D33884">
      <w:pPr>
        <w:spacing w:line="360" w:lineRule="auto"/>
        <w:rPr>
          <w:rFonts w:hAnsi="仿宋"/>
        </w:rPr>
      </w:pPr>
      <w:r>
        <w:rPr>
          <w:rFonts w:hAnsi="仿宋" w:hint="eastAsia"/>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大会等公司行为时境内外市场处理机制不同，可能也会造成境内外证券在除权除息日前后出现较大价格差异。</w:t>
      </w:r>
    </w:p>
    <w:p w:rsidR="00F96FB1" w:rsidRDefault="00D33884">
      <w:pPr>
        <w:pStyle w:val="-11"/>
        <w:spacing w:line="360" w:lineRule="auto"/>
        <w:ind w:firstLine="600"/>
        <w:rPr>
          <w:rFonts w:ascii="仿宋_GB2312" w:eastAsia="仿宋_GB2312"/>
          <w:sz w:val="30"/>
          <w:szCs w:val="30"/>
        </w:rPr>
      </w:pPr>
      <w:r>
        <w:rPr>
          <w:rFonts w:ascii="仿宋_GB2312" w:eastAsia="仿宋_GB2312" w:hAnsi="仿宋" w:hint="eastAsia"/>
          <w:sz w:val="30"/>
          <w:szCs w:val="30"/>
        </w:rPr>
        <w:lastRenderedPageBreak/>
        <w:t>（三十四）境外发行人发放现金红利的，其在本所上市的中国存托凭证不作除息处理。</w:t>
      </w:r>
      <w:r>
        <w:rPr>
          <w:rFonts w:ascii="仿宋_GB2312" w:eastAsia="仿宋_GB2312" w:hint="eastAsia"/>
          <w:sz w:val="30"/>
          <w:szCs w:val="30"/>
        </w:rPr>
        <w:t>上述安排与境内A股的除息安排存在差异。</w:t>
      </w:r>
    </w:p>
    <w:p w:rsidR="00F96FB1" w:rsidRDefault="00D33884">
      <w:pPr>
        <w:spacing w:line="360" w:lineRule="auto"/>
        <w:rPr>
          <w:rFonts w:hAnsi="仿宋"/>
        </w:rPr>
      </w:pPr>
      <w:r>
        <w:rPr>
          <w:rFonts w:hAnsi="仿宋" w:hint="eastAsia"/>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rsidR="00F96FB1" w:rsidRDefault="00D33884">
      <w:pPr>
        <w:spacing w:line="360" w:lineRule="auto"/>
        <w:ind w:firstLineChars="198" w:firstLine="594"/>
        <w:rPr>
          <w:rFonts w:hAnsi="仿宋"/>
        </w:rPr>
      </w:pPr>
      <w:r>
        <w:rPr>
          <w:rFonts w:hAnsi="仿宋" w:hint="eastAsia"/>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rsidR="00F96FB1" w:rsidRDefault="00D33884">
      <w:pPr>
        <w:spacing w:line="360" w:lineRule="auto"/>
        <w:rPr>
          <w:rFonts w:hAnsi="仿宋"/>
        </w:rPr>
      </w:pPr>
      <w:r>
        <w:rPr>
          <w:rFonts w:hAnsi="仿宋" w:hint="eastAsia"/>
        </w:rPr>
        <w:t>除上述风险提示外，《风险揭示书》应当以醒目的文字载明：</w:t>
      </w:r>
    </w:p>
    <w:p w:rsidR="00F96FB1" w:rsidRDefault="00D33884">
      <w:pPr>
        <w:spacing w:line="360" w:lineRule="auto"/>
        <w:rPr>
          <w:rFonts w:hAnsi="仿宋"/>
        </w:rPr>
      </w:pPr>
      <w:r>
        <w:rPr>
          <w:rFonts w:hAnsi="仿宋" w:hint="eastAsia"/>
        </w:rPr>
        <w:t>中国存托凭证在发行、上市、交易、信息披露等方面所适用的法律规则与境内</w:t>
      </w:r>
      <w:r>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rsidR="00F96FB1" w:rsidRDefault="00D33884">
      <w:pPr>
        <w:widowControl/>
        <w:spacing w:line="240" w:lineRule="auto"/>
        <w:ind w:firstLineChars="0" w:firstLine="0"/>
        <w:jc w:val="left"/>
        <w:rPr>
          <w:sz w:val="24"/>
          <w:szCs w:val="24"/>
        </w:rPr>
      </w:pPr>
      <w:r>
        <w:rPr>
          <w:b/>
          <w:sz w:val="24"/>
          <w:szCs w:val="24"/>
        </w:rPr>
        <w:br w:type="page"/>
      </w:r>
    </w:p>
    <w:p w:rsidR="00F96FB1" w:rsidRDefault="00D33884">
      <w:pPr>
        <w:pStyle w:val="2"/>
        <w:rPr>
          <w:sz w:val="36"/>
          <w:szCs w:val="36"/>
        </w:rPr>
      </w:pPr>
      <w:bookmarkStart w:id="32" w:name="_Toc117606501"/>
      <w:r>
        <w:rPr>
          <w:sz w:val="36"/>
          <w:szCs w:val="36"/>
        </w:rPr>
        <w:lastRenderedPageBreak/>
        <w:t>1.</w:t>
      </w:r>
      <w:r>
        <w:rPr>
          <w:rFonts w:hint="eastAsia"/>
          <w:sz w:val="36"/>
          <w:szCs w:val="36"/>
        </w:rPr>
        <w:t>9</w:t>
      </w:r>
      <w:r>
        <w:rPr>
          <w:sz w:val="36"/>
          <w:szCs w:val="36"/>
        </w:rPr>
        <w:t xml:space="preserve"> </w:t>
      </w:r>
      <w:r>
        <w:rPr>
          <w:rFonts w:hint="eastAsia"/>
          <w:sz w:val="36"/>
          <w:szCs w:val="36"/>
        </w:rPr>
        <w:t>上海证券交易所融资融券投资者风险揭示书必备条款</w:t>
      </w:r>
      <w:bookmarkEnd w:id="32"/>
    </w:p>
    <w:p w:rsidR="00F96FB1" w:rsidRDefault="00D33884">
      <w:pPr>
        <w:spacing w:line="360" w:lineRule="auto"/>
        <w:ind w:firstLine="480"/>
        <w:jc w:val="center"/>
        <w:rPr>
          <w:color w:val="000000"/>
          <w:sz w:val="24"/>
          <w:szCs w:val="24"/>
        </w:rPr>
      </w:pPr>
      <w:r>
        <w:rPr>
          <w:rFonts w:hint="eastAsia"/>
          <w:sz w:val="24"/>
          <w:szCs w:val="24"/>
        </w:rPr>
        <w:t>（中国证券业协会2011年11月25日发布）</w:t>
      </w:r>
    </w:p>
    <w:p w:rsidR="00F96FB1" w:rsidRDefault="00F96FB1">
      <w:pPr>
        <w:spacing w:line="360" w:lineRule="auto"/>
        <w:ind w:firstLineChars="0" w:firstLine="0"/>
        <w:rPr>
          <w:sz w:val="24"/>
          <w:szCs w:val="24"/>
        </w:rPr>
      </w:pPr>
    </w:p>
    <w:p w:rsidR="00F96FB1" w:rsidRDefault="00D33884">
      <w:pPr>
        <w:ind w:firstLineChars="0" w:firstLine="0"/>
        <w:rPr>
          <w:sz w:val="32"/>
          <w:szCs w:val="32"/>
        </w:rPr>
      </w:pPr>
      <w:r>
        <w:rPr>
          <w:rFonts w:hint="eastAsia"/>
          <w:sz w:val="32"/>
          <w:szCs w:val="32"/>
        </w:rPr>
        <w:t>各证券公司：</w:t>
      </w:r>
    </w:p>
    <w:p w:rsidR="00F96FB1" w:rsidRDefault="00D33884">
      <w:pPr>
        <w:ind w:firstLine="640"/>
        <w:rPr>
          <w:sz w:val="32"/>
          <w:szCs w:val="32"/>
        </w:rPr>
      </w:pPr>
      <w:r>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rsidR="00F96FB1" w:rsidRDefault="00D33884">
      <w:pPr>
        <w:ind w:firstLine="640"/>
        <w:rPr>
          <w:sz w:val="32"/>
          <w:szCs w:val="32"/>
        </w:rPr>
      </w:pPr>
      <w:r>
        <w:rPr>
          <w:rFonts w:hint="eastAsia"/>
          <w:sz w:val="32"/>
          <w:szCs w:val="32"/>
        </w:rPr>
        <w:t>一、提示投资者注意融资融券交易具有普通证券交易所具有的政策风险、市场风险、违约风险、系统风险等各种风险，以及其特有的投资风险放大等风险。</w:t>
      </w:r>
    </w:p>
    <w:p w:rsidR="00F96FB1" w:rsidRDefault="00D33884">
      <w:pPr>
        <w:ind w:firstLine="640"/>
        <w:rPr>
          <w:sz w:val="32"/>
          <w:szCs w:val="32"/>
        </w:rPr>
      </w:pPr>
      <w:r>
        <w:rPr>
          <w:rFonts w:hint="eastAsia"/>
          <w:sz w:val="32"/>
          <w:szCs w:val="32"/>
        </w:rPr>
        <w:t>二、提示投资者在开户从事融资融券交易前，必须了解所在的证券公司是否具有开展融资融券业务的资格。</w:t>
      </w:r>
    </w:p>
    <w:p w:rsidR="00F96FB1" w:rsidRDefault="00D33884">
      <w:pPr>
        <w:ind w:firstLine="640"/>
        <w:rPr>
          <w:sz w:val="32"/>
          <w:szCs w:val="32"/>
        </w:rPr>
      </w:pPr>
      <w:r>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rsidR="00F96FB1" w:rsidRDefault="00D33884">
      <w:pPr>
        <w:ind w:firstLine="640"/>
        <w:rPr>
          <w:sz w:val="32"/>
          <w:szCs w:val="32"/>
        </w:rPr>
      </w:pPr>
      <w:r>
        <w:rPr>
          <w:rFonts w:hint="eastAsia"/>
          <w:sz w:val="32"/>
          <w:szCs w:val="32"/>
        </w:rPr>
        <w:t>四、提示投资者在从事融资融券交易期间，如果其信用资质状况降低，证券公司会相应降低对其的授信额度，或者证券公司提高相关警戒指标、平仓指标所产生的风险，可能</w:t>
      </w:r>
      <w:r>
        <w:rPr>
          <w:rFonts w:hint="eastAsia"/>
          <w:sz w:val="32"/>
          <w:szCs w:val="32"/>
        </w:rPr>
        <w:lastRenderedPageBreak/>
        <w:t>会给投资者造成经济损失。</w:t>
      </w:r>
    </w:p>
    <w:p w:rsidR="00F96FB1" w:rsidRDefault="00D33884">
      <w:pPr>
        <w:ind w:firstLine="640"/>
        <w:rPr>
          <w:sz w:val="32"/>
          <w:szCs w:val="32"/>
        </w:rPr>
      </w:pPr>
      <w:r>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rsidR="00F96FB1" w:rsidRDefault="00D33884">
      <w:pPr>
        <w:ind w:firstLine="640"/>
        <w:rPr>
          <w:sz w:val="32"/>
          <w:szCs w:val="32"/>
        </w:rPr>
      </w:pPr>
      <w:r>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rsidR="00F96FB1" w:rsidRDefault="00D33884">
      <w:pPr>
        <w:ind w:firstLine="640"/>
        <w:rPr>
          <w:sz w:val="32"/>
          <w:szCs w:val="32"/>
        </w:rPr>
      </w:pPr>
      <w:r>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rsidR="00F96FB1" w:rsidRDefault="00D33884">
      <w:pPr>
        <w:ind w:firstLine="640"/>
        <w:rPr>
          <w:sz w:val="32"/>
          <w:szCs w:val="32"/>
        </w:rPr>
      </w:pPr>
      <w:r>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rsidR="00F96FB1" w:rsidRDefault="00D33884">
      <w:pPr>
        <w:spacing w:line="360" w:lineRule="auto"/>
        <w:ind w:firstLine="640"/>
      </w:pPr>
      <w:r>
        <w:rPr>
          <w:rFonts w:hint="eastAsia"/>
          <w:sz w:val="32"/>
          <w:szCs w:val="32"/>
        </w:rPr>
        <w:t>九、提示投资者应妥善保管信用账户卡、身份证件和交易密码等资料，如投资者将信用账户、身份证件、交易密码等出借给他人使用，由此造成的后果由投资者承担。</w:t>
      </w:r>
    </w:p>
    <w:p w:rsidR="00F96FB1" w:rsidRDefault="00D33884">
      <w:pPr>
        <w:ind w:firstLine="640"/>
        <w:rPr>
          <w:sz w:val="32"/>
          <w:szCs w:val="32"/>
        </w:rPr>
      </w:pPr>
      <w:r>
        <w:rPr>
          <w:rFonts w:hint="eastAsia"/>
          <w:sz w:val="32"/>
          <w:szCs w:val="32"/>
        </w:rPr>
        <w:lastRenderedPageBreak/>
        <w:t>十、除上述九项风险提示外，各证券公司还可以根据具体情况在本公司制订的《融资融券交易风险揭示书》中对融资融券交易存在的风险做进一步列举。</w:t>
      </w:r>
    </w:p>
    <w:p w:rsidR="00F96FB1" w:rsidRDefault="00D33884">
      <w:pPr>
        <w:ind w:firstLine="640"/>
        <w:rPr>
          <w:sz w:val="32"/>
          <w:szCs w:val="32"/>
        </w:rPr>
      </w:pPr>
      <w:r>
        <w:rPr>
          <w:rFonts w:hint="eastAsia"/>
          <w:sz w:val="32"/>
          <w:szCs w:val="32"/>
        </w:rPr>
        <w:t>风险揭示书应以醒目的文字载明：</w:t>
      </w:r>
    </w:p>
    <w:p w:rsidR="00F96FB1" w:rsidRDefault="00D33884">
      <w:pPr>
        <w:ind w:firstLine="640"/>
        <w:rPr>
          <w:rFonts w:ascii="黑体" w:eastAsia="黑体"/>
          <w:sz w:val="32"/>
          <w:szCs w:val="32"/>
        </w:rPr>
      </w:pPr>
      <w:r>
        <w:rPr>
          <w:rFonts w:ascii="黑体" w:eastAsia="黑体" w:hint="eastAsia"/>
          <w:sz w:val="32"/>
          <w:szCs w:val="32"/>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rsidR="00F96FB1" w:rsidRDefault="00D33884">
      <w:pPr>
        <w:spacing w:line="360" w:lineRule="auto"/>
        <w:ind w:firstLine="640"/>
      </w:pPr>
      <w:r>
        <w:rPr>
          <w:rFonts w:hint="eastAsia"/>
          <w:sz w:val="32"/>
          <w:szCs w:val="32"/>
        </w:rPr>
        <w:t>各证券公司还应要求每个投资者在《融资融券交易风险揭示书》上签字，确认已知晓并理解《融资融券交易风险揭示书》的全部内容，愿意承担融资融券交易的风险和损失。</w:t>
      </w:r>
    </w:p>
    <w:p w:rsidR="00F96FB1" w:rsidRDefault="00D33884">
      <w:pPr>
        <w:pStyle w:val="2"/>
        <w:rPr>
          <w:sz w:val="36"/>
          <w:szCs w:val="36"/>
        </w:rPr>
      </w:pPr>
      <w:r>
        <w:rPr>
          <w:sz w:val="36"/>
          <w:szCs w:val="36"/>
        </w:rPr>
        <w:br w:type="page"/>
      </w:r>
      <w:bookmarkStart w:id="33" w:name="_Toc117606502"/>
      <w:r>
        <w:rPr>
          <w:sz w:val="36"/>
          <w:szCs w:val="36"/>
        </w:rPr>
        <w:lastRenderedPageBreak/>
        <w:t>1.</w:t>
      </w:r>
      <w:r>
        <w:rPr>
          <w:rFonts w:hint="eastAsia"/>
          <w:sz w:val="36"/>
          <w:szCs w:val="36"/>
        </w:rPr>
        <w:t>10</w:t>
      </w:r>
      <w:r>
        <w:rPr>
          <w:sz w:val="36"/>
          <w:szCs w:val="36"/>
        </w:rPr>
        <w:t xml:space="preserve"> </w:t>
      </w:r>
      <w:r>
        <w:rPr>
          <w:rFonts w:hint="eastAsia"/>
          <w:sz w:val="36"/>
          <w:szCs w:val="36"/>
        </w:rPr>
        <w:t>上海证券交易所转融通证券出借投资者风险揭示书必备条款</w:t>
      </w:r>
      <w:bookmarkEnd w:id="33"/>
    </w:p>
    <w:p w:rsidR="00F96FB1" w:rsidRDefault="00D33884">
      <w:pPr>
        <w:spacing w:line="360" w:lineRule="auto"/>
        <w:ind w:firstLine="480"/>
        <w:jc w:val="center"/>
        <w:rPr>
          <w:color w:val="000000"/>
          <w:sz w:val="24"/>
          <w:szCs w:val="24"/>
        </w:rPr>
      </w:pPr>
      <w:r>
        <w:rPr>
          <w:rFonts w:hint="eastAsia"/>
          <w:sz w:val="24"/>
          <w:szCs w:val="24"/>
        </w:rPr>
        <w:t>（2023年2月17日修订）</w:t>
      </w:r>
    </w:p>
    <w:p w:rsidR="00F96FB1" w:rsidRDefault="00F96FB1">
      <w:pPr>
        <w:spacing w:line="360" w:lineRule="auto"/>
        <w:ind w:firstLine="480"/>
        <w:rPr>
          <w:sz w:val="24"/>
          <w:szCs w:val="24"/>
        </w:rPr>
      </w:pPr>
    </w:p>
    <w:p w:rsidR="00F96FB1" w:rsidRDefault="00D33884">
      <w:pPr>
        <w:spacing w:line="560" w:lineRule="exact"/>
      </w:pPr>
      <w:r>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rsidR="00F96FB1" w:rsidRDefault="00D33884">
      <w:pPr>
        <w:spacing w:line="560" w:lineRule="exact"/>
      </w:pPr>
      <w:r>
        <w:rPr>
          <w:rFonts w:hint="eastAsia"/>
        </w:rPr>
        <w:t>与普通的证券交易相比，证券出借有其特有的风险，为了使您更好地了解相关风险，本公司特向您进行如下风险揭示，请认真阅读并签署。</w:t>
      </w:r>
    </w:p>
    <w:p w:rsidR="00F96FB1" w:rsidRDefault="00D33884">
      <w:pPr>
        <w:spacing w:line="560" w:lineRule="exact"/>
      </w:pPr>
      <w:r>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rsidR="00F96FB1" w:rsidRDefault="00D33884">
      <w:pPr>
        <w:spacing w:line="560" w:lineRule="exact"/>
        <w:rPr>
          <w:rFonts w:cs="宋体"/>
        </w:rPr>
      </w:pPr>
      <w:r>
        <w:rPr>
          <w:rFonts w:cs="宋体" w:hint="eastAsia"/>
        </w:rPr>
        <w:t>二、通过非约定申报方式参与证券出借的，证券金融公司每一交易日开市前通过交易所公布的费率，是证券金融公司对其当日有借入意向的标的证券向市场发出的报价，</w:t>
      </w:r>
      <w:r>
        <w:rPr>
          <w:rFonts w:hint="eastAsia"/>
        </w:rPr>
        <w:t>出借人</w:t>
      </w:r>
      <w:r>
        <w:rPr>
          <w:rFonts w:cs="宋体" w:hint="eastAsia"/>
        </w:rPr>
        <w:t>申报证券出借即视为同意并接受证券金融公司的报价。</w:t>
      </w:r>
    </w:p>
    <w:p w:rsidR="00F96FB1" w:rsidRDefault="00D33884">
      <w:pPr>
        <w:spacing w:line="560" w:lineRule="exact"/>
        <w:rPr>
          <w:rFonts w:cs="宋体"/>
        </w:rPr>
      </w:pPr>
      <w:r>
        <w:rPr>
          <w:rFonts w:cs="宋体" w:hint="eastAsia"/>
        </w:rPr>
        <w:t>三、</w:t>
      </w:r>
      <w:r>
        <w:rPr>
          <w:rFonts w:cs="宋体" w:hint="eastAsia"/>
          <w:bCs/>
        </w:rPr>
        <w:t>通过约定申报方式参与证券出借的，证券交易所对申报进行实时撮合成交，已成交的申报无法撤销。</w:t>
      </w:r>
    </w:p>
    <w:p w:rsidR="00F96FB1" w:rsidRDefault="00D33884">
      <w:pPr>
        <w:spacing w:line="560" w:lineRule="exact"/>
        <w:rPr>
          <w:rFonts w:cs="宋体"/>
        </w:rPr>
      </w:pPr>
      <w:r>
        <w:rPr>
          <w:rFonts w:cs="宋体" w:hint="eastAsia"/>
        </w:rPr>
        <w:t>四、除与证券金融公司协商一致提前了结外，</w:t>
      </w:r>
      <w:r>
        <w:rPr>
          <w:rFonts w:hint="eastAsia"/>
        </w:rPr>
        <w:t>出借人</w:t>
      </w:r>
      <w:r>
        <w:rPr>
          <w:rFonts w:cs="宋体" w:hint="eastAsia"/>
        </w:rPr>
        <w:t>无法在合约到期前提前收回出借证券，从而可能影响其使用。</w:t>
      </w:r>
    </w:p>
    <w:p w:rsidR="00F96FB1" w:rsidRDefault="00D33884">
      <w:pPr>
        <w:spacing w:line="560" w:lineRule="exact"/>
        <w:rPr>
          <w:rFonts w:cs="宋体"/>
        </w:rPr>
      </w:pPr>
      <w:r>
        <w:rPr>
          <w:rFonts w:cs="宋体" w:hint="eastAsia"/>
        </w:rPr>
        <w:lastRenderedPageBreak/>
        <w:t>五、证券出借期间，如果发生标的证券暂停交易或者终止上市等情况，</w:t>
      </w:r>
      <w:r>
        <w:rPr>
          <w:rFonts w:hint="eastAsia"/>
        </w:rPr>
        <w:t>出借人</w:t>
      </w:r>
      <w:r>
        <w:rPr>
          <w:rFonts w:cs="宋体" w:hint="eastAsia"/>
        </w:rPr>
        <w:t>可能面临合约提前了结或者延迟了结等风险。</w:t>
      </w:r>
    </w:p>
    <w:p w:rsidR="00F96FB1" w:rsidRDefault="00D33884">
      <w:pPr>
        <w:spacing w:line="560" w:lineRule="exact"/>
        <w:rPr>
          <w:rFonts w:cs="宋体"/>
        </w:rPr>
      </w:pPr>
      <w:r>
        <w:rPr>
          <w:rFonts w:cs="宋体" w:hint="eastAsia"/>
        </w:rPr>
        <w:t>六、证券出借期间，证券金融公司将不对</w:t>
      </w:r>
      <w:r>
        <w:rPr>
          <w:rFonts w:hint="eastAsia"/>
        </w:rPr>
        <w:t>出借人</w:t>
      </w:r>
      <w:r>
        <w:rPr>
          <w:rFonts w:cs="宋体" w:hint="eastAsia"/>
        </w:rPr>
        <w:t>提供投票权的补偿。</w:t>
      </w:r>
    </w:p>
    <w:p w:rsidR="00F96FB1" w:rsidRDefault="00D33884">
      <w:pPr>
        <w:spacing w:line="560" w:lineRule="exact"/>
        <w:rPr>
          <w:rFonts w:cs="宋体"/>
          <w:bCs/>
        </w:rPr>
      </w:pPr>
      <w:r>
        <w:rPr>
          <w:rFonts w:cs="宋体" w:hint="eastAsia"/>
          <w:bCs/>
        </w:rPr>
        <w:t>七、证券出借期限因归还日为非交易日、标的证券全天停牌或停牌至收市而顺延超过30个自然日的，证券金融公司自第31个自然日起将不再对出借人支付借券费用。</w:t>
      </w:r>
    </w:p>
    <w:p w:rsidR="00F96FB1" w:rsidRDefault="00D33884">
      <w:pPr>
        <w:spacing w:line="560" w:lineRule="exact"/>
        <w:rPr>
          <w:rFonts w:cs="宋体"/>
        </w:rPr>
      </w:pPr>
      <w:r>
        <w:rPr>
          <w:rFonts w:cs="宋体" w:hint="eastAsia"/>
        </w:rPr>
        <w:t>八、涉及展期的各项事宜，由</w:t>
      </w:r>
      <w:r>
        <w:rPr>
          <w:rFonts w:hint="eastAsia"/>
        </w:rPr>
        <w:t>出借人</w:t>
      </w:r>
      <w:r>
        <w:rPr>
          <w:rFonts w:cs="宋体" w:hint="eastAsia"/>
        </w:rPr>
        <w:t>与证券金融公司自行协商处理，</w:t>
      </w:r>
      <w:r>
        <w:rPr>
          <w:rFonts w:hint="eastAsia"/>
        </w:rPr>
        <w:t>出借人</w:t>
      </w:r>
      <w:r>
        <w:rPr>
          <w:rFonts w:cs="宋体" w:hint="eastAsia"/>
        </w:rPr>
        <w:t>应当注意展期可能带来的风险。</w:t>
      </w:r>
    </w:p>
    <w:p w:rsidR="00F96FB1" w:rsidRDefault="00D33884">
      <w:pPr>
        <w:spacing w:line="560" w:lineRule="exact"/>
        <w:rPr>
          <w:rFonts w:cs="宋体"/>
        </w:rPr>
      </w:pPr>
      <w:r>
        <w:rPr>
          <w:rFonts w:cs="宋体" w:hint="eastAsia"/>
        </w:rPr>
        <w:t>九、</w:t>
      </w:r>
      <w:r>
        <w:rPr>
          <w:rFonts w:hint="eastAsia"/>
        </w:rPr>
        <w:t>出借人</w:t>
      </w:r>
      <w:r>
        <w:rPr>
          <w:rFonts w:cs="宋体" w:hint="eastAsia"/>
        </w:rPr>
        <w:t>出借的证券，可能存在到期不能归还、相应权益补偿和借券费用不能支付等风险。当证券金融公司发生前述违约情形时，</w:t>
      </w:r>
      <w:r>
        <w:rPr>
          <w:rFonts w:hint="eastAsia"/>
        </w:rPr>
        <w:t>出借人</w:t>
      </w:r>
      <w:r>
        <w:rPr>
          <w:rFonts w:cs="宋体" w:hint="eastAsia"/>
        </w:rPr>
        <w:t>需自行与证券金融公司协商处理，协商不成的，</w:t>
      </w:r>
      <w:r>
        <w:rPr>
          <w:rFonts w:hint="eastAsia"/>
        </w:rPr>
        <w:t>出借人</w:t>
      </w:r>
      <w:r>
        <w:rPr>
          <w:rFonts w:cs="宋体" w:hint="eastAsia"/>
        </w:rPr>
        <w:t>可自行通过诉讼、仲裁等法律途径解决。</w:t>
      </w:r>
      <w:r>
        <w:rPr>
          <w:rFonts w:hint="eastAsia"/>
        </w:rPr>
        <w:t>出借人</w:t>
      </w:r>
      <w:r>
        <w:rPr>
          <w:rFonts w:cs="宋体" w:hint="eastAsia"/>
        </w:rPr>
        <w:t>参与证券出借并不意味其委托券商、证券交易所、证券登记结算机构等单位追偿，</w:t>
      </w:r>
      <w:r>
        <w:rPr>
          <w:rFonts w:hint="eastAsia"/>
        </w:rPr>
        <w:t>出借人</w:t>
      </w:r>
      <w:r>
        <w:rPr>
          <w:rFonts w:cs="宋体" w:hint="eastAsia"/>
        </w:rPr>
        <w:t>也无权直接向券商、证券交易所、证券登记结算机构等单位主张归还证券、支付相应权益补偿或借券费用。</w:t>
      </w:r>
    </w:p>
    <w:p w:rsidR="00F96FB1" w:rsidRDefault="00D33884">
      <w:pPr>
        <w:spacing w:line="560" w:lineRule="exact"/>
        <w:rPr>
          <w:rFonts w:cs="宋体"/>
        </w:rPr>
      </w:pPr>
      <w:r>
        <w:rPr>
          <w:rFonts w:cs="宋体" w:hint="eastAsia"/>
        </w:rPr>
        <w:t>十、</w:t>
      </w:r>
      <w:r>
        <w:rPr>
          <w:rFonts w:hint="eastAsia"/>
        </w:rPr>
        <w:t>出借人</w:t>
      </w:r>
      <w:r>
        <w:rPr>
          <w:rFonts w:cs="宋体" w:hint="eastAsia"/>
        </w:rPr>
        <w:t>在参与证券出借之前，应该详细了解证券金融公司的经营状况及可能产生的业务风险，证券金融公司是以自身信用向</w:t>
      </w:r>
      <w:r>
        <w:rPr>
          <w:rFonts w:hint="eastAsia"/>
        </w:rPr>
        <w:t>出借人</w:t>
      </w:r>
      <w:r>
        <w:rPr>
          <w:rFonts w:cs="宋体" w:hint="eastAsia"/>
        </w:rPr>
        <w:t>借入证券，并不向其提供任何抵押品。</w:t>
      </w:r>
    </w:p>
    <w:p w:rsidR="00F96FB1" w:rsidRDefault="00D33884">
      <w:pPr>
        <w:spacing w:line="560" w:lineRule="exact"/>
        <w:rPr>
          <w:rFonts w:cs="宋体"/>
        </w:rPr>
      </w:pPr>
      <w:r>
        <w:rPr>
          <w:rFonts w:cs="宋体" w:hint="eastAsia"/>
        </w:rPr>
        <w:t>十一、</w:t>
      </w:r>
      <w:r>
        <w:rPr>
          <w:rFonts w:hint="eastAsia"/>
        </w:rPr>
        <w:t>出借人</w:t>
      </w:r>
      <w:r>
        <w:rPr>
          <w:rFonts w:cs="宋体" w:hint="eastAsia"/>
        </w:rPr>
        <w:t>应当妥善保管账户卡、身份证件和交易密码等资料，如其将账户、身份证件、交易密码等遗失或者给他人使用的，应当承担由此带来的风险。</w:t>
      </w:r>
    </w:p>
    <w:p w:rsidR="00F96FB1" w:rsidRDefault="00D33884">
      <w:pPr>
        <w:spacing w:line="560" w:lineRule="exact"/>
        <w:rPr>
          <w:rFonts w:cs="宋体"/>
        </w:rPr>
      </w:pPr>
      <w:r>
        <w:rPr>
          <w:rFonts w:cs="宋体" w:hint="eastAsia"/>
        </w:rPr>
        <w:t>十二、国家法律、法规、政策、交易所规则的变化、修改等，可能会对</w:t>
      </w:r>
      <w:r>
        <w:rPr>
          <w:rFonts w:hint="eastAsia"/>
        </w:rPr>
        <w:t>出借人</w:t>
      </w:r>
      <w:r>
        <w:rPr>
          <w:rFonts w:cs="宋体" w:hint="eastAsia"/>
        </w:rPr>
        <w:t>已达成的交易产生不利影响，甚至造成经济损失。</w:t>
      </w:r>
    </w:p>
    <w:p w:rsidR="00F96FB1" w:rsidRDefault="00D33884">
      <w:pPr>
        <w:spacing w:line="560" w:lineRule="exact"/>
        <w:rPr>
          <w:rFonts w:cs="宋体"/>
        </w:rPr>
      </w:pPr>
      <w:r>
        <w:rPr>
          <w:rFonts w:cs="宋体" w:hint="eastAsia"/>
        </w:rPr>
        <w:lastRenderedPageBreak/>
        <w:t>会员还应当要求《风险揭示书》应由</w:t>
      </w:r>
      <w:r>
        <w:rPr>
          <w:rFonts w:hint="eastAsia"/>
        </w:rPr>
        <w:t>出借人</w:t>
      </w:r>
      <w:r>
        <w:rPr>
          <w:rFonts w:cs="宋体" w:hint="eastAsia"/>
        </w:rPr>
        <w:t>本人签署，当</w:t>
      </w:r>
      <w:r>
        <w:rPr>
          <w:rFonts w:hint="eastAsia"/>
        </w:rPr>
        <w:t>出借人</w:t>
      </w:r>
      <w:r>
        <w:rPr>
          <w:rFonts w:cs="宋体" w:hint="eastAsia"/>
        </w:rPr>
        <w:t>为机构时，应由法定代表人或者其授权代表签署并加盖公章或者合同专用章，确认已知晓并理解《风险揭示书》的全部内容，愿意承担转融通证券出借交易的风险和损失。</w:t>
      </w:r>
    </w:p>
    <w:p w:rsidR="00F96FB1" w:rsidRDefault="00D33884">
      <w:pPr>
        <w:spacing w:line="560" w:lineRule="exact"/>
        <w:ind w:firstLineChars="0" w:firstLine="0"/>
        <w:rPr>
          <w:rFonts w:cs="宋体"/>
        </w:rPr>
      </w:pPr>
      <w:r>
        <w:rPr>
          <w:rFonts w:cs="宋体"/>
        </w:rPr>
        <w:t xml:space="preserve"> </w:t>
      </w:r>
    </w:p>
    <w:p w:rsidR="00F96FB1" w:rsidRDefault="00D33884">
      <w:pPr>
        <w:widowControl/>
        <w:spacing w:line="240" w:lineRule="auto"/>
        <w:ind w:firstLineChars="0" w:firstLine="0"/>
        <w:jc w:val="left"/>
        <w:rPr>
          <w:rFonts w:ascii="宋体" w:eastAsia="宋体" w:hAnsi="宋体"/>
          <w:b/>
          <w:sz w:val="36"/>
          <w:szCs w:val="36"/>
        </w:rPr>
      </w:pPr>
      <w:r>
        <w:rPr>
          <w:sz w:val="36"/>
          <w:szCs w:val="36"/>
        </w:rPr>
        <w:br w:type="page"/>
      </w:r>
    </w:p>
    <w:p w:rsidR="00F96FB1" w:rsidRDefault="00D33884">
      <w:pPr>
        <w:widowControl/>
        <w:spacing w:line="360" w:lineRule="auto"/>
        <w:ind w:firstLineChars="0" w:firstLine="0"/>
        <w:jc w:val="left"/>
        <w:rPr>
          <w:rFonts w:hAnsi="仿宋"/>
          <w:b/>
        </w:rPr>
      </w:pPr>
      <w:r>
        <w:rPr>
          <w:rFonts w:hAnsi="仿宋" w:hint="eastAsia"/>
          <w:b/>
        </w:rPr>
        <w:lastRenderedPageBreak/>
        <w:t>附录：</w:t>
      </w:r>
    </w:p>
    <w:p w:rsidR="00F96FB1" w:rsidRDefault="00D33884">
      <w:pPr>
        <w:pStyle w:val="af"/>
        <w:widowControl/>
        <w:ind w:firstLineChars="0" w:firstLine="0"/>
        <w:rPr>
          <w:rFonts w:ascii="仿宋_GB2312" w:eastAsia="仿宋_GB2312" w:hAnsi="仿宋"/>
          <w:b/>
          <w:sz w:val="30"/>
          <w:szCs w:val="30"/>
        </w:rPr>
      </w:pPr>
      <w:r>
        <w:rPr>
          <w:rFonts w:ascii="仿宋_GB2312" w:eastAsia="仿宋_GB2312" w:hAnsi="仿宋" w:cs="Times New Roman" w:hint="eastAsia"/>
          <w:b/>
          <w:sz w:val="30"/>
          <w:szCs w:val="30"/>
        </w:rPr>
        <w:t>《</w:t>
      </w:r>
      <w:r>
        <w:rPr>
          <w:rFonts w:ascii="仿宋_GB2312" w:eastAsia="仿宋_GB2312" w:hAnsi="仿宋" w:hint="eastAsia"/>
          <w:b/>
          <w:sz w:val="30"/>
          <w:szCs w:val="30"/>
        </w:rPr>
        <w:t>上海证券交易所转融通证券出借投资者风险揭示书必备条款</w:t>
      </w:r>
      <w:r>
        <w:rPr>
          <w:rFonts w:ascii="仿宋_GB2312" w:eastAsia="仿宋_GB2312" w:hAnsi="仿宋" w:cs="Times New Roman" w:hint="eastAsia"/>
          <w:b/>
          <w:sz w:val="30"/>
          <w:szCs w:val="30"/>
        </w:rPr>
        <w:t>》</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历次修订</w:t>
      </w:r>
    </w:p>
    <w:p w:rsidR="00F96FB1" w:rsidRDefault="00D33884">
      <w:pPr>
        <w:widowControl/>
        <w:spacing w:line="560" w:lineRule="exact"/>
        <w:ind w:firstLineChars="150" w:firstLine="450"/>
        <w:rPr>
          <w:rFonts w:hAnsi="仿宋"/>
          <w:bCs/>
        </w:rPr>
      </w:pPr>
      <w:r>
        <w:rPr>
          <w:rFonts w:hAnsi="仿宋" w:hint="eastAsia"/>
          <w:bCs/>
        </w:rPr>
        <w:t>1.</w:t>
      </w:r>
      <w:r>
        <w:rPr>
          <w:rFonts w:hAnsi="仿宋"/>
          <w:bCs/>
        </w:rPr>
        <w:t>202</w:t>
      </w:r>
      <w:r>
        <w:rPr>
          <w:rFonts w:hAnsi="仿宋" w:hint="eastAsia"/>
          <w:bCs/>
        </w:rPr>
        <w:t>3年2月17日</w:t>
      </w:r>
    </w:p>
    <w:p w:rsidR="00F96FB1" w:rsidRDefault="00D33884">
      <w:pPr>
        <w:spacing w:line="560" w:lineRule="exact"/>
        <w:rPr>
          <w:rFonts w:hAnsi="仿宋"/>
          <w:bCs/>
        </w:rPr>
      </w:pPr>
      <w:r>
        <w:rPr>
          <w:rFonts w:hAnsi="仿宋" w:hint="eastAsia"/>
          <w:bCs/>
        </w:rPr>
        <w:t>1.1</w:t>
      </w:r>
      <w:r>
        <w:rPr>
          <w:rFonts w:hAnsi="仿宋" w:hint="eastAsia"/>
          <w:b/>
        </w:rPr>
        <w:t>修改</w:t>
      </w:r>
      <w:r>
        <w:rPr>
          <w:rFonts w:hAnsi="仿宋" w:hint="eastAsia"/>
          <w:bCs/>
        </w:rPr>
        <w:t>第一条：</w:t>
      </w:r>
    </w:p>
    <w:p w:rsidR="00F96FB1" w:rsidRDefault="00D33884">
      <w:pPr>
        <w:spacing w:line="560" w:lineRule="exact"/>
      </w:pPr>
      <w:r>
        <w:rPr>
          <w:rFonts w:hint="eastAsia"/>
        </w:rPr>
        <w:t>为了使出借人充分了解转融通证券出借交易（以下简称</w:t>
      </w:r>
      <w:r>
        <w:rPr>
          <w:rFonts w:hint="eastAsia"/>
          <w:strike/>
        </w:rPr>
        <w:t>“</w:t>
      </w:r>
      <w:r>
        <w:rPr>
          <w:rFonts w:hint="eastAsia"/>
        </w:rPr>
        <w:t>证券出借</w:t>
      </w:r>
      <w:r>
        <w:rPr>
          <w:rFonts w:hint="eastAsia"/>
          <w:strike/>
        </w:rPr>
        <w:t>交易”</w:t>
      </w:r>
      <w:r>
        <w:rPr>
          <w:rFonts w:hint="eastAsia"/>
        </w:rPr>
        <w:t>）风险，</w:t>
      </w:r>
      <w:r>
        <w:rPr>
          <w:rFonts w:hint="eastAsia"/>
          <w:strike/>
        </w:rPr>
        <w:t>为投资者</w:t>
      </w:r>
      <w:r>
        <w:rPr>
          <w:rFonts w:hint="eastAsia"/>
        </w:rPr>
        <w:t>提供证券出借</w:t>
      </w:r>
      <w:r>
        <w:rPr>
          <w:rFonts w:hint="eastAsia"/>
          <w:strike/>
        </w:rPr>
        <w:t>交易</w:t>
      </w:r>
      <w:r>
        <w:rPr>
          <w:rFonts w:hint="eastAsia"/>
        </w:rPr>
        <w:t>代理服务的会员应当制订《转融通证券出借交易风险揭示书》（以下简称</w:t>
      </w:r>
      <w:r>
        <w:rPr>
          <w:rFonts w:hint="eastAsia"/>
          <w:strike/>
        </w:rPr>
        <w:t>“</w:t>
      </w:r>
      <w:r>
        <w:rPr>
          <w:rFonts w:hint="eastAsia"/>
        </w:rPr>
        <w:t>《风险揭示书》</w:t>
      </w:r>
      <w:r>
        <w:rPr>
          <w:rFonts w:hint="eastAsia"/>
          <w:strike/>
        </w:rPr>
        <w:t>”</w:t>
      </w:r>
      <w:r>
        <w:rPr>
          <w:rFonts w:hint="eastAsia"/>
        </w:rPr>
        <w:t>），向出借人充分揭示</w:t>
      </w:r>
      <w:r>
        <w:rPr>
          <w:rFonts w:hint="eastAsia"/>
          <w:b/>
        </w:rPr>
        <w:t>参与</w:t>
      </w:r>
      <w:r>
        <w:rPr>
          <w:rFonts w:hint="eastAsia"/>
        </w:rPr>
        <w:t>证券出借</w:t>
      </w:r>
      <w:r>
        <w:rPr>
          <w:rFonts w:hint="eastAsia"/>
          <w:strike/>
        </w:rPr>
        <w:t>交易</w:t>
      </w:r>
      <w:r>
        <w:rPr>
          <w:rFonts w:hint="eastAsia"/>
        </w:rPr>
        <w:t>可能带来的风险和损失</w:t>
      </w:r>
      <w:r>
        <w:rPr>
          <w:rFonts w:hint="eastAsia"/>
          <w:b/>
        </w:rPr>
        <w:t>，要求出借人认真阅读并签署</w:t>
      </w:r>
      <w:r>
        <w:rPr>
          <w:rFonts w:hint="eastAsia"/>
        </w:rPr>
        <w:t>。《风险揭示书》应当包括但不限于下列内容：</w:t>
      </w:r>
    </w:p>
    <w:p w:rsidR="00F96FB1" w:rsidRDefault="00D33884">
      <w:pPr>
        <w:spacing w:line="560" w:lineRule="exact"/>
      </w:pPr>
      <w:r>
        <w:rPr>
          <w:rFonts w:hint="eastAsia"/>
        </w:rPr>
        <w:t>与普通的证券交易相比，证券出借</w:t>
      </w:r>
      <w:r>
        <w:rPr>
          <w:rFonts w:hint="eastAsia"/>
          <w:strike/>
        </w:rPr>
        <w:t>交易</w:t>
      </w:r>
      <w:r>
        <w:rPr>
          <w:rFonts w:hint="eastAsia"/>
        </w:rPr>
        <w:t>有其特有的风险，为了使您更好地了解相关风险，本公司特向您进行如下风险揭示，请认真阅读并签署。</w:t>
      </w:r>
    </w:p>
    <w:p w:rsidR="00F96FB1" w:rsidRDefault="00D33884">
      <w:pPr>
        <w:spacing w:line="560" w:lineRule="exact"/>
      </w:pPr>
      <w:r>
        <w:rPr>
          <w:rFonts w:hint="eastAsia"/>
        </w:rPr>
        <w:t>一、证券出借</w:t>
      </w:r>
      <w:r>
        <w:rPr>
          <w:rFonts w:hint="eastAsia"/>
          <w:strike/>
        </w:rPr>
        <w:t>交易</w:t>
      </w:r>
      <w:r>
        <w:rPr>
          <w:rFonts w:hint="eastAsia"/>
        </w:rPr>
        <w:t>可能存在的信用风险、市场风险、流动性风险、权益补偿风险、操作风险、政策风险、技术风险等各类风险，出借人应根据自身的财务状况、实际需求、风险承受能力以及内部制度等，谨慎参与。</w:t>
      </w:r>
    </w:p>
    <w:p w:rsidR="00F96FB1" w:rsidRDefault="00D33884">
      <w:pPr>
        <w:spacing w:line="560" w:lineRule="exact"/>
        <w:rPr>
          <w:rFonts w:hAnsi="仿宋"/>
          <w:bCs/>
        </w:rPr>
      </w:pPr>
      <w:r>
        <w:rPr>
          <w:rFonts w:hAnsi="仿宋" w:hint="eastAsia"/>
          <w:bCs/>
        </w:rPr>
        <w:t>1.2</w:t>
      </w:r>
      <w:r>
        <w:rPr>
          <w:rFonts w:hAnsi="仿宋" w:hint="eastAsia"/>
          <w:b/>
        </w:rPr>
        <w:t>修改</w:t>
      </w:r>
      <w:r>
        <w:rPr>
          <w:rFonts w:hAnsi="仿宋" w:hint="eastAsia"/>
          <w:bCs/>
        </w:rPr>
        <w:t>第二条：</w:t>
      </w:r>
    </w:p>
    <w:p w:rsidR="00F96FB1" w:rsidRDefault="00D33884">
      <w:pPr>
        <w:spacing w:line="560" w:lineRule="exact"/>
        <w:rPr>
          <w:rFonts w:cs="宋体"/>
        </w:rPr>
      </w:pPr>
      <w:r>
        <w:rPr>
          <w:rFonts w:cs="宋体" w:hint="eastAsia"/>
        </w:rPr>
        <w:t>二、</w:t>
      </w:r>
      <w:r>
        <w:rPr>
          <w:rFonts w:cs="宋体" w:hint="eastAsia"/>
          <w:b/>
        </w:rPr>
        <w:t>通过非约定申报方式参与证券出借的，</w:t>
      </w:r>
      <w:r>
        <w:rPr>
          <w:rFonts w:cs="宋体" w:hint="eastAsia"/>
        </w:rPr>
        <w:t>证券金融公司每一交易日开市前通过交易所公布的费率，是证券金融公司对其当日有借入意向的标的证券向市场发出的报价，</w:t>
      </w:r>
      <w:r>
        <w:rPr>
          <w:rFonts w:hint="eastAsia"/>
        </w:rPr>
        <w:t>出借人</w:t>
      </w:r>
      <w:r>
        <w:rPr>
          <w:rFonts w:cs="宋体" w:hint="eastAsia"/>
        </w:rPr>
        <w:t>申报证券出借</w:t>
      </w:r>
      <w:r>
        <w:rPr>
          <w:rFonts w:cs="宋体" w:hint="eastAsia"/>
          <w:strike/>
        </w:rPr>
        <w:t>交易</w:t>
      </w:r>
      <w:r>
        <w:rPr>
          <w:rFonts w:cs="宋体" w:hint="eastAsia"/>
        </w:rPr>
        <w:t>即视为同意并接受证券金融公司的报价。</w:t>
      </w:r>
    </w:p>
    <w:p w:rsidR="00F96FB1" w:rsidRDefault="00D33884">
      <w:pPr>
        <w:numPr>
          <w:ilvl w:val="255"/>
          <w:numId w:val="0"/>
        </w:numPr>
        <w:spacing w:line="560" w:lineRule="exact"/>
        <w:ind w:firstLineChars="200" w:firstLine="600"/>
      </w:pPr>
      <w:r>
        <w:rPr>
          <w:rFonts w:hAnsi="仿宋" w:hint="eastAsia"/>
          <w:bCs/>
        </w:rPr>
        <w:t>1.3</w:t>
      </w:r>
      <w:r>
        <w:rPr>
          <w:rFonts w:hAnsi="仿宋" w:hint="eastAsia"/>
          <w:b/>
        </w:rPr>
        <w:t>新增</w:t>
      </w:r>
      <w:r>
        <w:rPr>
          <w:rFonts w:hAnsi="仿宋" w:hint="eastAsia"/>
          <w:bCs/>
        </w:rPr>
        <w:t>第三条，</w:t>
      </w:r>
      <w:r>
        <w:rPr>
          <w:rFonts w:hint="eastAsia"/>
        </w:rPr>
        <w:t>其后条款相应顺延：</w:t>
      </w:r>
    </w:p>
    <w:p w:rsidR="00F96FB1" w:rsidRDefault="00D33884">
      <w:pPr>
        <w:spacing w:line="560" w:lineRule="exact"/>
        <w:rPr>
          <w:rFonts w:cs="宋体"/>
        </w:rPr>
      </w:pPr>
      <w:r>
        <w:rPr>
          <w:rFonts w:cs="宋体" w:hint="eastAsia"/>
        </w:rPr>
        <w:lastRenderedPageBreak/>
        <w:t>三、</w:t>
      </w:r>
      <w:r>
        <w:rPr>
          <w:rFonts w:cs="宋体" w:hint="eastAsia"/>
          <w:bCs/>
        </w:rPr>
        <w:t>通过约定申报方式参与证券出借的，证券交易所对申报进行实时撮合成交，已成交的申报无法撤销。</w:t>
      </w:r>
    </w:p>
    <w:p w:rsidR="00F96FB1" w:rsidRDefault="00D33884">
      <w:pPr>
        <w:numPr>
          <w:ilvl w:val="255"/>
          <w:numId w:val="0"/>
        </w:numPr>
        <w:spacing w:line="560" w:lineRule="exact"/>
        <w:ind w:firstLineChars="200" w:firstLine="600"/>
      </w:pPr>
      <w:r>
        <w:rPr>
          <w:rFonts w:hint="eastAsia"/>
        </w:rPr>
        <w:t>1.4</w:t>
      </w:r>
      <w:r>
        <w:rPr>
          <w:rFonts w:hint="eastAsia"/>
          <w:b/>
          <w:bCs/>
        </w:rPr>
        <w:t>修改</w:t>
      </w:r>
      <w:r>
        <w:rPr>
          <w:rFonts w:hint="eastAsia"/>
        </w:rPr>
        <w:t>现第四条（原第三条）：</w:t>
      </w:r>
    </w:p>
    <w:p w:rsidR="00F96FB1" w:rsidRDefault="00D33884">
      <w:pPr>
        <w:spacing w:line="560" w:lineRule="exact"/>
        <w:rPr>
          <w:rFonts w:cs="宋体"/>
        </w:rPr>
      </w:pPr>
      <w:r>
        <w:rPr>
          <w:rFonts w:cs="宋体" w:hint="eastAsia"/>
        </w:rPr>
        <w:t>四、</w:t>
      </w:r>
      <w:r>
        <w:rPr>
          <w:rFonts w:cs="宋体" w:hint="eastAsia"/>
          <w:strike/>
        </w:rPr>
        <w:t>出借人</w:t>
      </w:r>
      <w:r>
        <w:rPr>
          <w:rFonts w:cs="宋体" w:hint="eastAsia"/>
          <w:b/>
        </w:rPr>
        <w:t>除与证券金融公司协商一致提前了结外，</w:t>
      </w:r>
      <w:r>
        <w:rPr>
          <w:rFonts w:hint="eastAsia"/>
          <w:b/>
        </w:rPr>
        <w:t>出借人</w:t>
      </w:r>
      <w:r>
        <w:rPr>
          <w:rFonts w:cs="宋体" w:hint="eastAsia"/>
        </w:rPr>
        <w:t>无法在合约到期前提前收回出借证券，</w:t>
      </w:r>
      <w:r>
        <w:rPr>
          <w:rFonts w:cs="宋体" w:hint="eastAsia"/>
          <w:b/>
          <w:bCs/>
        </w:rPr>
        <w:t>从而</w:t>
      </w:r>
      <w:r>
        <w:rPr>
          <w:rFonts w:cs="宋体" w:hint="eastAsia"/>
        </w:rPr>
        <w:t>可能影响其使用。</w:t>
      </w:r>
    </w:p>
    <w:p w:rsidR="00F96FB1" w:rsidRDefault="00D33884">
      <w:pPr>
        <w:numPr>
          <w:ilvl w:val="255"/>
          <w:numId w:val="0"/>
        </w:numPr>
        <w:spacing w:line="560" w:lineRule="exact"/>
        <w:ind w:firstLineChars="200" w:firstLine="600"/>
      </w:pPr>
      <w:r>
        <w:rPr>
          <w:rFonts w:hAnsi="仿宋" w:hint="eastAsia"/>
          <w:bCs/>
        </w:rPr>
        <w:t>1.5</w:t>
      </w:r>
      <w:r>
        <w:rPr>
          <w:rFonts w:hAnsi="仿宋" w:hint="eastAsia"/>
          <w:b/>
        </w:rPr>
        <w:t>新增</w:t>
      </w:r>
      <w:r>
        <w:rPr>
          <w:rFonts w:hAnsi="仿宋" w:hint="eastAsia"/>
          <w:bCs/>
        </w:rPr>
        <w:t>第七条，</w:t>
      </w:r>
      <w:r>
        <w:rPr>
          <w:rFonts w:hint="eastAsia"/>
        </w:rPr>
        <w:t>其后条款相应顺延：</w:t>
      </w:r>
    </w:p>
    <w:p w:rsidR="00F96FB1" w:rsidRDefault="00D33884">
      <w:pPr>
        <w:spacing w:line="560" w:lineRule="exact"/>
        <w:rPr>
          <w:rFonts w:cs="宋体"/>
          <w:bCs/>
        </w:rPr>
      </w:pPr>
      <w:r>
        <w:rPr>
          <w:rFonts w:cs="宋体" w:hint="eastAsia"/>
          <w:bCs/>
        </w:rPr>
        <w:t>七、证券出借期限因归还日为非交易日</w:t>
      </w:r>
      <w:r>
        <w:rPr>
          <w:rFonts w:cs="宋体" w:hint="eastAsia"/>
          <w:b/>
          <w:bCs/>
        </w:rPr>
        <w:t>、</w:t>
      </w:r>
      <w:r>
        <w:rPr>
          <w:rFonts w:cs="宋体" w:hint="eastAsia"/>
          <w:bCs/>
        </w:rPr>
        <w:t>标的证券</w:t>
      </w:r>
      <w:r w:rsidRPr="00AF6198">
        <w:rPr>
          <w:rFonts w:cs="宋体" w:hint="eastAsia"/>
          <w:bCs/>
        </w:rPr>
        <w:t>全天</w:t>
      </w:r>
      <w:r>
        <w:rPr>
          <w:rFonts w:cs="宋体" w:hint="eastAsia"/>
          <w:bCs/>
        </w:rPr>
        <w:t>停牌</w:t>
      </w:r>
      <w:r w:rsidR="00AF6198">
        <w:rPr>
          <w:rFonts w:cs="宋体" w:hint="eastAsia"/>
          <w:bCs/>
        </w:rPr>
        <w:t>或停牌</w:t>
      </w:r>
      <w:r w:rsidRPr="00AF6198">
        <w:rPr>
          <w:rFonts w:cs="宋体" w:hint="eastAsia"/>
          <w:bCs/>
        </w:rPr>
        <w:t>至收市</w:t>
      </w:r>
      <w:r>
        <w:rPr>
          <w:rFonts w:cs="宋体" w:hint="eastAsia"/>
          <w:bCs/>
        </w:rPr>
        <w:t>而顺延超过30个自然日的，证券金融公司自第31个自然日起将不再对出借人支付借券费用。</w:t>
      </w:r>
    </w:p>
    <w:p w:rsidR="00F96FB1" w:rsidRDefault="00D33884">
      <w:pPr>
        <w:numPr>
          <w:ilvl w:val="255"/>
          <w:numId w:val="0"/>
        </w:numPr>
        <w:spacing w:line="560" w:lineRule="exact"/>
        <w:ind w:firstLineChars="200" w:firstLine="600"/>
      </w:pPr>
      <w:r>
        <w:rPr>
          <w:rFonts w:hint="eastAsia"/>
        </w:rPr>
        <w:t>1.6</w:t>
      </w:r>
      <w:r>
        <w:rPr>
          <w:rFonts w:hint="eastAsia"/>
          <w:b/>
          <w:bCs/>
        </w:rPr>
        <w:t>修改</w:t>
      </w:r>
      <w:r>
        <w:rPr>
          <w:rFonts w:hint="eastAsia"/>
        </w:rPr>
        <w:t>现第九条（原第七条）：</w:t>
      </w:r>
    </w:p>
    <w:p w:rsidR="00F96FB1" w:rsidRDefault="00D33884">
      <w:pPr>
        <w:spacing w:line="560" w:lineRule="exact"/>
        <w:rPr>
          <w:rFonts w:cs="宋体"/>
        </w:rPr>
      </w:pPr>
      <w:r>
        <w:rPr>
          <w:rFonts w:cs="宋体" w:hint="eastAsia"/>
        </w:rPr>
        <w:t>九、</w:t>
      </w:r>
      <w:r>
        <w:rPr>
          <w:rFonts w:hint="eastAsia"/>
        </w:rPr>
        <w:t>出借人</w:t>
      </w:r>
      <w:r>
        <w:rPr>
          <w:rFonts w:cs="宋体" w:hint="eastAsia"/>
        </w:rPr>
        <w:t>出借的证券，可能存在到期不能归还、相应权益补偿和借券费用不能支付等风险。当证券金融公司发生前述违约情形时，</w:t>
      </w:r>
      <w:r>
        <w:rPr>
          <w:rFonts w:hint="eastAsia"/>
        </w:rPr>
        <w:t>出借人</w:t>
      </w:r>
      <w:r>
        <w:rPr>
          <w:rFonts w:cs="宋体" w:hint="eastAsia"/>
        </w:rPr>
        <w:t>需自行与证券金融公司协商处理，协商不成的，</w:t>
      </w:r>
      <w:r>
        <w:rPr>
          <w:rFonts w:hint="eastAsia"/>
        </w:rPr>
        <w:t>出借人</w:t>
      </w:r>
      <w:r>
        <w:rPr>
          <w:rFonts w:cs="宋体" w:hint="eastAsia"/>
        </w:rPr>
        <w:t>可自行通过诉讼、仲裁等法律途径解决。</w:t>
      </w:r>
      <w:r>
        <w:rPr>
          <w:rFonts w:hint="eastAsia"/>
        </w:rPr>
        <w:t>出借人</w:t>
      </w:r>
      <w:r>
        <w:rPr>
          <w:rFonts w:cs="宋体" w:hint="eastAsia"/>
        </w:rPr>
        <w:t>参与证券出借交易并不意味其委托券商、证券交易所、</w:t>
      </w:r>
      <w:r>
        <w:rPr>
          <w:rFonts w:cs="宋体" w:hint="eastAsia"/>
          <w:b/>
        </w:rPr>
        <w:t>证券</w:t>
      </w:r>
      <w:r>
        <w:rPr>
          <w:rFonts w:cs="宋体" w:hint="eastAsia"/>
        </w:rPr>
        <w:t>登记结算机构等单位追偿，</w:t>
      </w:r>
      <w:r>
        <w:rPr>
          <w:rFonts w:hint="eastAsia"/>
        </w:rPr>
        <w:t>出借人</w:t>
      </w:r>
      <w:r>
        <w:rPr>
          <w:rFonts w:cs="宋体" w:hint="eastAsia"/>
        </w:rPr>
        <w:t>也无权直接向券商、证券交易所、</w:t>
      </w:r>
      <w:r>
        <w:rPr>
          <w:rFonts w:cs="宋体" w:hint="eastAsia"/>
          <w:b/>
        </w:rPr>
        <w:t>证券</w:t>
      </w:r>
      <w:r>
        <w:rPr>
          <w:rFonts w:cs="宋体" w:hint="eastAsia"/>
        </w:rPr>
        <w:t>登记结算机构等单位主张归还证券、支付相应权益补偿或借券费用。</w:t>
      </w:r>
    </w:p>
    <w:p w:rsidR="005D2F2C" w:rsidRDefault="005D2F2C" w:rsidP="005D2F2C">
      <w:pPr>
        <w:pStyle w:val="a0"/>
        <w:ind w:firstLine="600"/>
      </w:pPr>
      <w:r>
        <w:rPr>
          <w:rFonts w:hint="eastAsia"/>
        </w:rPr>
        <w:t>1.7</w:t>
      </w:r>
      <w:r w:rsidRPr="005D2F2C">
        <w:rPr>
          <w:rFonts w:hint="eastAsia"/>
          <w:b/>
        </w:rPr>
        <w:t>修改</w:t>
      </w:r>
      <w:r>
        <w:rPr>
          <w:rFonts w:hint="eastAsia"/>
        </w:rPr>
        <w:t>现第十条（原第八条）：</w:t>
      </w:r>
    </w:p>
    <w:p w:rsidR="005D2F2C" w:rsidRDefault="005D2F2C" w:rsidP="005D2F2C">
      <w:pPr>
        <w:spacing w:line="560" w:lineRule="exact"/>
        <w:rPr>
          <w:rFonts w:cs="宋体"/>
        </w:rPr>
      </w:pPr>
      <w:r>
        <w:rPr>
          <w:rFonts w:cs="宋体" w:hint="eastAsia"/>
        </w:rPr>
        <w:t>十、</w:t>
      </w:r>
      <w:r>
        <w:rPr>
          <w:rFonts w:hint="eastAsia"/>
        </w:rPr>
        <w:t>出借人</w:t>
      </w:r>
      <w:r>
        <w:rPr>
          <w:rFonts w:cs="宋体" w:hint="eastAsia"/>
        </w:rPr>
        <w:t>在参与证券出借</w:t>
      </w:r>
      <w:r w:rsidRPr="007D67F5">
        <w:rPr>
          <w:rFonts w:cs="宋体" w:hint="eastAsia"/>
          <w:strike/>
        </w:rPr>
        <w:t>交易</w:t>
      </w:r>
      <w:r>
        <w:rPr>
          <w:rFonts w:cs="宋体" w:hint="eastAsia"/>
        </w:rPr>
        <w:t>之前，应该详细了解证券金融公司的经营状况及可能产生的业务风险，证券金融公司是以自身信用向</w:t>
      </w:r>
      <w:r>
        <w:rPr>
          <w:rFonts w:hint="eastAsia"/>
        </w:rPr>
        <w:t>出借人</w:t>
      </w:r>
      <w:r>
        <w:rPr>
          <w:rFonts w:cs="宋体" w:hint="eastAsia"/>
        </w:rPr>
        <w:t>借入证券，并不向其提供任何抵押品。</w:t>
      </w:r>
    </w:p>
    <w:p w:rsidR="005D2F2C" w:rsidRPr="005D2F2C" w:rsidRDefault="005D2F2C" w:rsidP="005D2F2C">
      <w:pPr>
        <w:pStyle w:val="a0"/>
        <w:ind w:firstLine="600"/>
      </w:pPr>
    </w:p>
    <w:p w:rsidR="00F96FB1" w:rsidRDefault="00D33884">
      <w:pPr>
        <w:pStyle w:val="2"/>
      </w:pPr>
      <w:r>
        <w:br w:type="page"/>
      </w:r>
      <w:bookmarkStart w:id="34" w:name="_Toc117606503"/>
      <w:r>
        <w:lastRenderedPageBreak/>
        <w:t>1.1</w:t>
      </w:r>
      <w:r>
        <w:rPr>
          <w:rFonts w:hint="eastAsia"/>
        </w:rPr>
        <w:t>1上海证券交易所约定购回式证券交易投资者风险揭示书必备条款</w:t>
      </w:r>
      <w:bookmarkEnd w:id="34"/>
    </w:p>
    <w:p w:rsidR="00F96FB1" w:rsidRDefault="00D33884">
      <w:pPr>
        <w:spacing w:line="360" w:lineRule="auto"/>
        <w:ind w:firstLine="480"/>
        <w:jc w:val="center"/>
        <w:rPr>
          <w:color w:val="000000"/>
          <w:sz w:val="24"/>
          <w:szCs w:val="24"/>
        </w:rPr>
      </w:pPr>
      <w:r>
        <w:rPr>
          <w:rFonts w:hint="eastAsia"/>
          <w:sz w:val="24"/>
          <w:szCs w:val="24"/>
        </w:rPr>
        <w:t>（2012年12月10日发布）</w:t>
      </w:r>
    </w:p>
    <w:p w:rsidR="00F96FB1" w:rsidRDefault="00F96FB1">
      <w:pPr>
        <w:adjustRightInd w:val="0"/>
        <w:snapToGrid w:val="0"/>
        <w:spacing w:line="360" w:lineRule="auto"/>
        <w:ind w:firstLine="420"/>
        <w:rPr>
          <w:rFonts w:ascii="宋体" w:hAnsi="宋体"/>
          <w:sz w:val="21"/>
          <w:szCs w:val="24"/>
        </w:rPr>
      </w:pPr>
    </w:p>
    <w:p w:rsidR="00F96FB1" w:rsidRDefault="00D33884">
      <w:pPr>
        <w:spacing w:line="360" w:lineRule="auto"/>
      </w:pPr>
      <w:r>
        <w:rPr>
          <w:rFonts w:hint="eastAsia"/>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rsidR="00F96FB1" w:rsidRDefault="00D33884">
      <w:pPr>
        <w:spacing w:line="360" w:lineRule="auto"/>
        <w:ind w:firstLineChars="0" w:firstLine="0"/>
      </w:pPr>
      <w:r>
        <w:rPr>
          <w:rFonts w:hint="eastAsia"/>
        </w:rPr>
        <w:t xml:space="preserve">   一、客户在办理约定购回式证券交易前，应对自身参与约定购回式证券交易的适当性、合法性进行审慎评估，并以真实身份参与交易，包括但不限于：</w:t>
      </w:r>
    </w:p>
    <w:p w:rsidR="00F96FB1" w:rsidRDefault="00D33884">
      <w:pPr>
        <w:spacing w:line="360" w:lineRule="auto"/>
        <w:ind w:firstLineChars="0" w:firstLine="0"/>
      </w:pPr>
      <w:r>
        <w:rPr>
          <w:rFonts w:hint="eastAsia"/>
        </w:rPr>
        <w:t xml:space="preserve">    客户应根据自身财务状况、实际需求、风险承受能力以及内部管理要求（若为机构客户），慎重考虑是否适宜参与约定购回式证券交易；否则，可能因不当参与约定购回式证券交易而产生损失；</w:t>
      </w:r>
    </w:p>
    <w:p w:rsidR="00F96FB1" w:rsidRDefault="00D33884">
      <w:pPr>
        <w:spacing w:line="360" w:lineRule="auto"/>
        <w:ind w:firstLineChars="0" w:firstLine="0"/>
      </w:pPr>
      <w:r>
        <w:rPr>
          <w:rFonts w:hint="eastAsia"/>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监事、高级管理人员或持有上市公司股份5%以上的股东，并将其持有的该上市公司的股票进行约定购回式证券交易的，应确保购回交易期限不低于6个月，且遵守法律法规有关</w:t>
      </w:r>
      <w:r>
        <w:rPr>
          <w:rFonts w:hint="eastAsia"/>
        </w:rPr>
        <w:lastRenderedPageBreak/>
        <w:t>短线交易的规定。否则，客户可能被取消约定购回式证券交易资格并因此产生损失。</w:t>
      </w:r>
    </w:p>
    <w:p w:rsidR="00F96FB1" w:rsidRDefault="00D33884">
      <w:pPr>
        <w:spacing w:line="360" w:lineRule="auto"/>
        <w:ind w:firstLineChars="0" w:firstLine="0"/>
      </w:pPr>
      <w:r>
        <w:rPr>
          <w:rFonts w:hint="eastAsia"/>
        </w:rPr>
        <w:t xml:space="preserve">   二、客户在从事约定购回式证券交易前，必须了解所在的证券公司是否已开通约定购回式证券交易权限。</w:t>
      </w:r>
    </w:p>
    <w:p w:rsidR="00F96FB1" w:rsidRDefault="00D33884">
      <w:pPr>
        <w:spacing w:line="360" w:lineRule="auto"/>
        <w:ind w:firstLineChars="0" w:firstLine="0"/>
      </w:pPr>
      <w:r>
        <w:rPr>
          <w:rFonts w:hint="eastAsia"/>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rsidR="00F96FB1" w:rsidRDefault="00D33884">
      <w:pPr>
        <w:spacing w:line="360" w:lineRule="auto"/>
        <w:ind w:firstLineChars="0" w:firstLine="0"/>
      </w:pPr>
      <w:r>
        <w:rPr>
          <w:rFonts w:hint="eastAsia"/>
        </w:rPr>
        <w:t xml:space="preserve">   四、客户终止购回后，标的证券将被划转至证券公司指定的自营账户。客户应明确知晓终止购回的法律后果。</w:t>
      </w:r>
    </w:p>
    <w:p w:rsidR="00F96FB1" w:rsidRDefault="00D33884">
      <w:pPr>
        <w:spacing w:line="360" w:lineRule="auto"/>
        <w:ind w:firstLineChars="0" w:firstLine="0"/>
      </w:pPr>
      <w:r>
        <w:rPr>
          <w:rFonts w:hint="eastAsia"/>
        </w:rPr>
        <w:t xml:space="preserve">   五、客户应当关注约定购回式证券交易中存在的利率变化、证券价格波动、标的证券发生要约收购等事件以及其他市场风险，包括但不限于以下情况：</w:t>
      </w:r>
    </w:p>
    <w:p w:rsidR="00F96FB1" w:rsidRDefault="00D33884">
      <w:pPr>
        <w:spacing w:line="360" w:lineRule="auto"/>
        <w:ind w:firstLineChars="0" w:firstLine="0"/>
      </w:pPr>
      <w:r>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rsidR="00F96FB1" w:rsidRDefault="00D33884">
      <w:pPr>
        <w:spacing w:line="360" w:lineRule="auto"/>
        <w:ind w:firstLineChars="0" w:firstLine="0"/>
      </w:pPr>
      <w:r>
        <w:rPr>
          <w:rFonts w:hint="eastAsia"/>
        </w:rPr>
        <w:t xml:space="preserve">    若标的证券在待购回期间发生吸收合并、要约收购、权证发行、债转股、公司缩股或公司分立等事件时，客户面临被动提前购回的风险，但客户为上市公司的董事、监事、高级管理人员或持有上市公司股份比例超过5%的股东，且交易存续期未满6个月的，不得提前购回，该笔交易进入异常情形处置程序，由证券</w:t>
      </w:r>
      <w:r>
        <w:rPr>
          <w:rFonts w:hint="eastAsia"/>
        </w:rPr>
        <w:lastRenderedPageBreak/>
        <w:t>公司对标的证券进行卖出处置，与客户进行现金结算；</w:t>
      </w:r>
    </w:p>
    <w:p w:rsidR="00F96FB1" w:rsidRDefault="00D33884">
      <w:pPr>
        <w:spacing w:line="360" w:lineRule="auto"/>
        <w:ind w:firstLineChars="0" w:firstLine="0"/>
      </w:pPr>
      <w:r>
        <w:rPr>
          <w:rFonts w:hint="eastAsia"/>
        </w:rPr>
        <w:t xml:space="preserve">    若标的证券在待购回期间被暂停或终止上市，客户将无法购回标的证券，并可能承担因此造成的损失。</w:t>
      </w:r>
    </w:p>
    <w:p w:rsidR="00F96FB1" w:rsidRDefault="00D33884">
      <w:pPr>
        <w:spacing w:line="360" w:lineRule="auto"/>
        <w:ind w:firstLineChars="0" w:firstLine="0"/>
      </w:pPr>
      <w:r>
        <w:rPr>
          <w:rFonts w:hint="eastAsia"/>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rsidR="00F96FB1" w:rsidRDefault="00D33884">
      <w:pPr>
        <w:spacing w:line="360" w:lineRule="auto"/>
        <w:ind w:firstLineChars="0" w:firstLine="0"/>
      </w:pPr>
      <w:r>
        <w:rPr>
          <w:rFonts w:hint="eastAsia"/>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rsidR="00F96FB1" w:rsidRDefault="00D33884">
      <w:pPr>
        <w:spacing w:line="360" w:lineRule="auto"/>
        <w:ind w:firstLineChars="0" w:firstLine="0"/>
      </w:pPr>
      <w:r>
        <w:rPr>
          <w:rFonts w:hint="eastAsia"/>
        </w:rPr>
        <w:t xml:space="preserve">   八、客户应当关注约定购回式证券交易中面临的操作风险，以及由此可能造成的损失，包括但不限于因证券公司原因交易不能按期达成、因通讯失效而不能及时送达相关信息等。</w:t>
      </w:r>
    </w:p>
    <w:p w:rsidR="00F96FB1" w:rsidRDefault="00D33884">
      <w:pPr>
        <w:spacing w:line="360" w:lineRule="auto"/>
        <w:ind w:firstLineChars="0" w:firstLine="0"/>
      </w:pPr>
      <w:r>
        <w:rPr>
          <w:rFonts w:hint="eastAsia"/>
        </w:rPr>
        <w:t xml:space="preserve">   九、客户应当关注约定购回式证券交易中面临的技术系统风险，以及由此可能造成的损失，包括但不限于因证券公司、交易所或证券登记结算机构的技术系统故障或差错而影响交易正常进行等。</w:t>
      </w:r>
    </w:p>
    <w:p w:rsidR="00F96FB1" w:rsidRDefault="00D33884">
      <w:pPr>
        <w:spacing w:line="360" w:lineRule="auto"/>
        <w:ind w:firstLineChars="0" w:firstLine="0"/>
      </w:pPr>
      <w:r>
        <w:rPr>
          <w:rFonts w:hint="eastAsia"/>
        </w:rPr>
        <w:lastRenderedPageBreak/>
        <w:t xml:space="preserve">   十、客户应当关注约定购回式证券交易中面临的各种政策风险，以及由此可能造成的损失，包括但不限于因法律法规及政策变动须被动提前购回、业务进入终止程序等。</w:t>
      </w:r>
    </w:p>
    <w:p w:rsidR="00F96FB1" w:rsidRDefault="00D33884">
      <w:pPr>
        <w:widowControl/>
        <w:spacing w:line="360" w:lineRule="auto"/>
        <w:ind w:firstLineChars="0" w:firstLine="0"/>
        <w:jc w:val="left"/>
        <w:rPr>
          <w:sz w:val="24"/>
          <w:szCs w:val="24"/>
        </w:rPr>
      </w:pPr>
      <w:r>
        <w:rPr>
          <w:sz w:val="24"/>
          <w:szCs w:val="24"/>
        </w:rPr>
        <w:br w:type="page"/>
      </w:r>
    </w:p>
    <w:p w:rsidR="00F96FB1" w:rsidRDefault="00D33884">
      <w:pPr>
        <w:pStyle w:val="2"/>
        <w:rPr>
          <w:sz w:val="36"/>
          <w:szCs w:val="36"/>
        </w:rPr>
      </w:pPr>
      <w:bookmarkStart w:id="35" w:name="_Toc117606504"/>
      <w:r>
        <w:rPr>
          <w:sz w:val="36"/>
          <w:szCs w:val="36"/>
        </w:rPr>
        <w:lastRenderedPageBreak/>
        <w:t>1.1</w:t>
      </w:r>
      <w:r>
        <w:rPr>
          <w:rFonts w:hint="eastAsia"/>
          <w:sz w:val="36"/>
          <w:szCs w:val="36"/>
        </w:rPr>
        <w:t>2</w:t>
      </w:r>
      <w:r>
        <w:rPr>
          <w:sz w:val="36"/>
          <w:szCs w:val="36"/>
        </w:rPr>
        <w:t xml:space="preserve"> </w:t>
      </w:r>
      <w:r>
        <w:rPr>
          <w:rFonts w:hint="eastAsia"/>
          <w:sz w:val="36"/>
          <w:szCs w:val="36"/>
        </w:rPr>
        <w:t>上海证券交易所股票质押式回购交易投资者风险揭示书必备条款</w:t>
      </w:r>
      <w:bookmarkEnd w:id="35"/>
    </w:p>
    <w:p w:rsidR="00F96FB1" w:rsidRDefault="00D33884">
      <w:pPr>
        <w:spacing w:line="360" w:lineRule="auto"/>
        <w:ind w:firstLine="480"/>
        <w:jc w:val="center"/>
        <w:rPr>
          <w:color w:val="000000"/>
          <w:sz w:val="24"/>
          <w:szCs w:val="24"/>
        </w:rPr>
      </w:pPr>
      <w:r>
        <w:rPr>
          <w:rFonts w:hint="eastAsia"/>
          <w:sz w:val="24"/>
          <w:szCs w:val="24"/>
        </w:rPr>
        <w:t>（2018年1月12日修订）</w:t>
      </w:r>
    </w:p>
    <w:p w:rsidR="00F96FB1" w:rsidRDefault="00F96FB1">
      <w:pPr>
        <w:tabs>
          <w:tab w:val="left" w:pos="1155"/>
        </w:tabs>
        <w:adjustRightInd w:val="0"/>
        <w:snapToGrid w:val="0"/>
        <w:spacing w:line="520" w:lineRule="exact"/>
        <w:ind w:firstLine="440"/>
        <w:rPr>
          <w:sz w:val="22"/>
          <w:szCs w:val="22"/>
        </w:rPr>
      </w:pPr>
    </w:p>
    <w:p w:rsidR="00F96FB1" w:rsidRDefault="00D33884">
      <w:pPr>
        <w:spacing w:line="360" w:lineRule="auto"/>
      </w:pPr>
      <w:r>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rsidR="00F96FB1" w:rsidRDefault="00D33884">
      <w:pPr>
        <w:spacing w:line="360" w:lineRule="auto"/>
        <w:ind w:firstLine="602"/>
        <w:rPr>
          <w:rFonts w:ascii="黑体" w:eastAsia="黑体" w:hAnsi="黑体"/>
        </w:rPr>
      </w:pPr>
      <w:r>
        <w:rPr>
          <w:rFonts w:ascii="黑体" w:eastAsia="黑体" w:hAnsi="黑体" w:hint="eastAsia"/>
          <w:b/>
        </w:rPr>
        <w:t>一、《融入方风险揭示书》至少应包括下列内容</w:t>
      </w:r>
      <w:r>
        <w:rPr>
          <w:rFonts w:ascii="黑体" w:eastAsia="黑体" w:hAnsi="黑体" w:hint="eastAsia"/>
        </w:rPr>
        <w:t>：</w:t>
      </w:r>
    </w:p>
    <w:p w:rsidR="00F96FB1" w:rsidRDefault="00D33884">
      <w:pPr>
        <w:spacing w:line="360" w:lineRule="auto"/>
      </w:pPr>
      <w:r>
        <w:rPr>
          <w:rFonts w:hint="eastAsia"/>
        </w:rPr>
        <w:t>（一）【总则】股票质押回购业务具有市场风险、信用风险、利益冲突风险、操作风险及其他各类风险。</w:t>
      </w:r>
    </w:p>
    <w:p w:rsidR="00F96FB1" w:rsidRDefault="00D33884">
      <w:pPr>
        <w:spacing w:line="360" w:lineRule="auto"/>
      </w:pPr>
      <w:r>
        <w:rPr>
          <w:rFonts w:hint="eastAsia"/>
        </w:rPr>
        <w:t>（二）【融入方适当性】融入方应当根据自身财务状况、实际需求、风险承受能力以及内部管理要求（若为机构），慎重考虑是否适宜参与股票质押回购。</w:t>
      </w:r>
    </w:p>
    <w:p w:rsidR="00F96FB1" w:rsidRDefault="00D33884">
      <w:pPr>
        <w:spacing w:line="360" w:lineRule="auto"/>
      </w:pPr>
      <w:r>
        <w:rPr>
          <w:rFonts w:hint="eastAsia"/>
        </w:rPr>
        <w:t>（三）【市场风险】待购回期间，质押标的证券市值下跌，须按约定提前购回、补充质押标的证券或采取其他约定方式提高履约保障比例的风险。</w:t>
      </w:r>
    </w:p>
    <w:p w:rsidR="00F96FB1" w:rsidRDefault="00D33884">
      <w:pPr>
        <w:spacing w:line="360" w:lineRule="auto"/>
      </w:pPr>
      <w:r>
        <w:rPr>
          <w:rFonts w:hint="eastAsia"/>
        </w:rPr>
        <w:t>待购回期间，标的证券处于质押状态，融入方无法卖出或另作他用，融入方可能承担因证券价格波动而产生的风险。</w:t>
      </w:r>
    </w:p>
    <w:p w:rsidR="00F96FB1" w:rsidRDefault="00D33884">
      <w:pPr>
        <w:spacing w:line="360" w:lineRule="auto"/>
      </w:pPr>
      <w:r>
        <w:rPr>
          <w:rFonts w:hint="eastAsia"/>
        </w:rPr>
        <w:lastRenderedPageBreak/>
        <w:t>待购回期间，质押标的证券发生跨市场吸收合并等情形，融入方面临提前购回的风险。</w:t>
      </w:r>
    </w:p>
    <w:p w:rsidR="00F96FB1" w:rsidRDefault="00D33884">
      <w:pPr>
        <w:spacing w:line="360" w:lineRule="auto"/>
      </w:pPr>
      <w:r>
        <w:rPr>
          <w:rFonts w:hint="eastAsia"/>
        </w:rPr>
        <w:t>（四）【信用风险】融入方违约，根据约定质押标的证券可能被处置的风险；因处置价格、数量、时间等的不确定，可能会给融入方造成损失的风险。</w:t>
      </w:r>
    </w:p>
    <w:p w:rsidR="00F96FB1" w:rsidRDefault="00D33884">
      <w:pPr>
        <w:spacing w:line="360" w:lineRule="auto"/>
      </w:pPr>
      <w:r>
        <w:rPr>
          <w:rFonts w:hint="eastAsia"/>
        </w:rPr>
        <w:t>（五）【黑名单风险】在股票质押回购待购回期间，融入方可能会因违反相关规定被记录违约信息，并因此在披露日期起相应时间内不得通过证券公司进行融资等风险。</w:t>
      </w:r>
    </w:p>
    <w:p w:rsidR="00F96FB1" w:rsidRDefault="00D33884">
      <w:pPr>
        <w:spacing w:line="360" w:lineRule="auto"/>
      </w:pPr>
      <w:r>
        <w:rPr>
          <w:rFonts w:hint="eastAsia"/>
        </w:rPr>
        <w:t>（六）【利益冲突的风险】在股票质押回购中，证券公司既可以是融出方或融出方管理人，又根据融入方委托办理交易指令申报以及其他与股票质押回购有关的事项，可能存在利益冲突的风险。</w:t>
      </w:r>
    </w:p>
    <w:p w:rsidR="00F96FB1" w:rsidRDefault="00D33884">
      <w:pPr>
        <w:spacing w:line="360" w:lineRule="auto"/>
      </w:pPr>
      <w:r>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rsidR="00F96FB1" w:rsidRDefault="00D33884">
      <w:pPr>
        <w:spacing w:line="360" w:lineRule="auto"/>
      </w:pPr>
      <w:r>
        <w:rPr>
          <w:rFonts w:hint="eastAsia"/>
        </w:rPr>
        <w:t>（八）【标的证券范围调整】标的证券可能被上交所暂停用于股票质押回购或被证券公司调整出范围，导致初始交易或补充质押无法成交的风险。</w:t>
      </w:r>
    </w:p>
    <w:p w:rsidR="00F96FB1" w:rsidRDefault="00D33884">
      <w:pPr>
        <w:spacing w:line="360" w:lineRule="auto"/>
      </w:pPr>
      <w:r>
        <w:rPr>
          <w:rFonts w:hint="eastAsia"/>
        </w:rPr>
        <w:t>（九）【交易期限】股票质押回购累计的回购期限超过上交所和中国结算规定的最长期限的，无法通过上交所进行购回交易的风险。</w:t>
      </w:r>
    </w:p>
    <w:p w:rsidR="00F96FB1" w:rsidRDefault="00D33884">
      <w:pPr>
        <w:spacing w:line="360" w:lineRule="auto"/>
      </w:pPr>
      <w:r>
        <w:rPr>
          <w:rFonts w:hint="eastAsia"/>
        </w:rPr>
        <w:lastRenderedPageBreak/>
        <w:t>（十）【异常情况】融入方进行股票质押回购时应关注各类异常情况及由此可能引发的风险，包括但不限于：</w:t>
      </w:r>
    </w:p>
    <w:p w:rsidR="00F96FB1" w:rsidRDefault="00D33884">
      <w:pPr>
        <w:spacing w:line="360" w:lineRule="auto"/>
      </w:pPr>
      <w:r>
        <w:rPr>
          <w:rFonts w:hint="eastAsia"/>
        </w:rPr>
        <w:t>1.质押标的证券或证券账户、资金账户被司法等机关冻结或强制执行；</w:t>
      </w:r>
    </w:p>
    <w:p w:rsidR="00F96FB1" w:rsidRDefault="00D33884">
      <w:pPr>
        <w:spacing w:line="360" w:lineRule="auto"/>
      </w:pPr>
      <w:r>
        <w:rPr>
          <w:rFonts w:hint="eastAsia"/>
        </w:rPr>
        <w:t>2.质押标的证券被作出终止上市决定；</w:t>
      </w:r>
    </w:p>
    <w:p w:rsidR="00F96FB1" w:rsidRDefault="00D33884">
      <w:pPr>
        <w:spacing w:line="360" w:lineRule="auto"/>
      </w:pPr>
      <w:r>
        <w:rPr>
          <w:rFonts w:hint="eastAsia"/>
        </w:rPr>
        <w:t>3.集合资产管理计划提前终止；</w:t>
      </w:r>
    </w:p>
    <w:p w:rsidR="00F96FB1" w:rsidRDefault="00D33884">
      <w:pPr>
        <w:spacing w:line="360" w:lineRule="auto"/>
      </w:pPr>
      <w:r>
        <w:rPr>
          <w:rFonts w:hint="eastAsia"/>
        </w:rPr>
        <w:t>4.证券公司被暂停或终止股票质押回购权限；</w:t>
      </w:r>
    </w:p>
    <w:p w:rsidR="00F96FB1" w:rsidRDefault="00D33884">
      <w:pPr>
        <w:spacing w:line="360" w:lineRule="auto"/>
      </w:pPr>
      <w:r>
        <w:rPr>
          <w:rFonts w:hint="eastAsia"/>
        </w:rPr>
        <w:t>5.证券公司进入风险处置或破产程序。</w:t>
      </w:r>
    </w:p>
    <w:p w:rsidR="00F96FB1" w:rsidRDefault="00D33884">
      <w:pPr>
        <w:spacing w:line="360" w:lineRule="auto"/>
      </w:pPr>
      <w:r>
        <w:rPr>
          <w:rFonts w:hint="eastAsia"/>
        </w:rPr>
        <w:t>（十一）【操作风险】由于技术系统故障、资金交收或质押与解除质押登记失败、通知与送达异常、证券公司未履行职责等原因导致的操作风险。</w:t>
      </w:r>
    </w:p>
    <w:p w:rsidR="00F96FB1" w:rsidRDefault="00D33884">
      <w:pPr>
        <w:spacing w:line="360" w:lineRule="auto"/>
      </w:pPr>
      <w:r>
        <w:rPr>
          <w:rFonts w:hint="eastAsia"/>
        </w:rPr>
        <w:t>（十二）【政策风险】由于国家法律、法规、政策、交易所规则的变化、修改等原因，可能会对融入方的存续交易产生不利影响，甚至造成经济损失。</w:t>
      </w:r>
    </w:p>
    <w:p w:rsidR="00F96FB1" w:rsidRDefault="00D33884">
      <w:pPr>
        <w:spacing w:line="360" w:lineRule="auto"/>
      </w:pPr>
      <w:r>
        <w:rPr>
          <w:rFonts w:hint="eastAsia"/>
        </w:rPr>
        <w:t>（十三）【不可抗力风险】在股票质押回购的存续期间，如果因出现火灾、地震、瘟疫、社会动乱等不能预见、避免或克服的不可抗力情形，可能会给融入方造成经济损失。</w:t>
      </w:r>
    </w:p>
    <w:p w:rsidR="00F96FB1" w:rsidRDefault="00D33884">
      <w:pPr>
        <w:spacing w:line="360" w:lineRule="auto"/>
      </w:pPr>
      <w:r>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rsidR="00F96FB1" w:rsidRDefault="00D33884">
      <w:pPr>
        <w:spacing w:line="360" w:lineRule="auto"/>
        <w:ind w:firstLine="602"/>
        <w:rPr>
          <w:rFonts w:ascii="黑体" w:eastAsia="黑体" w:hAnsi="黑体"/>
        </w:rPr>
      </w:pPr>
      <w:r>
        <w:rPr>
          <w:rFonts w:ascii="黑体" w:eastAsia="黑体" w:hAnsi="黑体" w:hint="eastAsia"/>
          <w:b/>
        </w:rPr>
        <w:t>二、融出方为集合资产管理计划或定向资产管理客户时，相</w:t>
      </w:r>
      <w:r>
        <w:rPr>
          <w:rFonts w:ascii="黑体" w:eastAsia="黑体" w:hAnsi="黑体" w:hint="eastAsia"/>
          <w:b/>
        </w:rPr>
        <w:lastRenderedPageBreak/>
        <w:t>关风险揭示书中至少应包括下列内容</w:t>
      </w:r>
      <w:r>
        <w:rPr>
          <w:rFonts w:ascii="黑体" w:eastAsia="黑体" w:hAnsi="黑体" w:hint="eastAsia"/>
        </w:rPr>
        <w:t>：</w:t>
      </w:r>
    </w:p>
    <w:p w:rsidR="00F96FB1" w:rsidRDefault="00D33884">
      <w:pPr>
        <w:spacing w:line="360" w:lineRule="auto"/>
      </w:pPr>
      <w:r>
        <w:rPr>
          <w:rFonts w:hint="eastAsia"/>
        </w:rPr>
        <w:t>（一）【信用风险】融入方违约，质押标的证券被违约处置后，可能无法足额偿付债务的风险。</w:t>
      </w:r>
    </w:p>
    <w:p w:rsidR="00F96FB1" w:rsidRDefault="00D33884">
      <w:pPr>
        <w:spacing w:line="360" w:lineRule="auto"/>
      </w:pPr>
      <w:r>
        <w:rPr>
          <w:rFonts w:hint="eastAsia"/>
        </w:rPr>
        <w:t>（二）【流动性风险】集合资产管理计划在股票质押回购待购回期间提前终止，但回购未到期或违约处置未完成可能导致计划客户无法及时收回投资的风险。</w:t>
      </w:r>
    </w:p>
    <w:p w:rsidR="00F96FB1" w:rsidRDefault="00D33884">
      <w:pPr>
        <w:spacing w:line="360" w:lineRule="auto"/>
      </w:pPr>
      <w:r>
        <w:rPr>
          <w:rFonts w:hint="eastAsia"/>
        </w:rPr>
        <w:t>（三）【限售股风险】质押标的证券为有限售条件股份，违约处置时仍处于限售期，无法及时处置的风险。</w:t>
      </w:r>
    </w:p>
    <w:p w:rsidR="00F96FB1" w:rsidRDefault="00D33884">
      <w:pPr>
        <w:spacing w:line="360" w:lineRule="auto"/>
      </w:pPr>
      <w:r>
        <w:rPr>
          <w:rFonts w:hint="eastAsia"/>
        </w:rPr>
        <w:t>（四）【司法冻结风险】标的证券被质押后，因资金融入方的原因导致标的证券被司法冻结或强制执行，标的证券无法被及时处置的风险。</w:t>
      </w:r>
    </w:p>
    <w:p w:rsidR="00F96FB1" w:rsidRDefault="00D33884">
      <w:pPr>
        <w:spacing w:line="360" w:lineRule="auto"/>
      </w:pPr>
      <w:r>
        <w:rPr>
          <w:rFonts w:hint="eastAsia"/>
        </w:rPr>
        <w:t>（五）【未履行职责风险】证券公司未按照约定尽职履行交易申报、合并管理、盯市、违约处置等职责从而损害客户利益的风险。</w:t>
      </w:r>
    </w:p>
    <w:p w:rsidR="00F96FB1" w:rsidRDefault="00D33884">
      <w:pPr>
        <w:widowControl/>
        <w:spacing w:line="240" w:lineRule="auto"/>
        <w:ind w:firstLineChars="0" w:firstLine="0"/>
        <w:jc w:val="left"/>
        <w:rPr>
          <w:sz w:val="24"/>
          <w:szCs w:val="24"/>
        </w:rPr>
      </w:pPr>
      <w:r>
        <w:rPr>
          <w:sz w:val="24"/>
          <w:szCs w:val="24"/>
        </w:rPr>
        <w:br w:type="page"/>
      </w:r>
    </w:p>
    <w:p w:rsidR="00F96FB1" w:rsidRDefault="00D33884">
      <w:pPr>
        <w:pStyle w:val="2"/>
        <w:rPr>
          <w:sz w:val="36"/>
          <w:szCs w:val="36"/>
        </w:rPr>
      </w:pPr>
      <w:bookmarkStart w:id="36" w:name="_Toc117606505"/>
      <w:r>
        <w:rPr>
          <w:sz w:val="36"/>
          <w:szCs w:val="36"/>
        </w:rPr>
        <w:lastRenderedPageBreak/>
        <w:t>1.1</w:t>
      </w:r>
      <w:r>
        <w:rPr>
          <w:rFonts w:hint="eastAsia"/>
          <w:sz w:val="36"/>
          <w:szCs w:val="36"/>
        </w:rPr>
        <w:t>3</w:t>
      </w:r>
      <w:r>
        <w:rPr>
          <w:sz w:val="36"/>
          <w:szCs w:val="36"/>
        </w:rPr>
        <w:t xml:space="preserve"> </w:t>
      </w:r>
      <w:r>
        <w:rPr>
          <w:rFonts w:hint="eastAsia"/>
          <w:sz w:val="36"/>
          <w:szCs w:val="36"/>
        </w:rPr>
        <w:t>上海证券交易所质押式报价回购交易投资者风险揭示书必备条款</w:t>
      </w:r>
      <w:bookmarkEnd w:id="36"/>
    </w:p>
    <w:p w:rsidR="00F96FB1" w:rsidRDefault="00D33884">
      <w:pPr>
        <w:spacing w:line="360" w:lineRule="auto"/>
        <w:ind w:firstLine="480"/>
        <w:jc w:val="center"/>
        <w:rPr>
          <w:color w:val="000000"/>
          <w:sz w:val="24"/>
          <w:szCs w:val="24"/>
        </w:rPr>
      </w:pPr>
      <w:r>
        <w:rPr>
          <w:rFonts w:hint="eastAsia"/>
          <w:sz w:val="24"/>
          <w:szCs w:val="24"/>
        </w:rPr>
        <w:t>（2013年3月28日发布）</w:t>
      </w:r>
    </w:p>
    <w:p w:rsidR="00F96FB1" w:rsidRDefault="00F96FB1">
      <w:pPr>
        <w:spacing w:line="360" w:lineRule="auto"/>
        <w:ind w:firstLine="482"/>
        <w:rPr>
          <w:b/>
          <w:sz w:val="24"/>
          <w:szCs w:val="24"/>
        </w:rPr>
      </w:pPr>
    </w:p>
    <w:p w:rsidR="00F96FB1" w:rsidRDefault="00D33884">
      <w:pPr>
        <w:spacing w:line="360" w:lineRule="auto"/>
        <w:ind w:firstLineChars="175" w:firstLine="525"/>
      </w:pPr>
      <w:r>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一、【总则】报价回购业务具有市场风险、信用风险、流动性风险、操作风险、政策风险及其他各类风险。</w:t>
      </w:r>
    </w:p>
    <w:p w:rsidR="00F96FB1" w:rsidRDefault="00D33884">
      <w:pPr>
        <w:widowControl/>
        <w:spacing w:line="360" w:lineRule="auto"/>
        <w:rPr>
          <w:rFonts w:hAnsi="宋体" w:cs="宋体"/>
        </w:rPr>
      </w:pPr>
      <w:r>
        <w:rPr>
          <w:rFonts w:hAnsi="宋体" w:cs="宋体" w:hint="eastAsia"/>
        </w:rPr>
        <w:t>二、【客户</w:t>
      </w:r>
      <w:r>
        <w:rPr>
          <w:rFonts w:hAnsi="Cambria" w:hint="eastAsia"/>
          <w:lang w:bidi="en-US"/>
        </w:rPr>
        <w:t>适当性】客户在办理报价回购业务前，应对自身参与的适当性、合法性进行审慎评估，并以真实身份参与，包括但不限于：客户应当根</w:t>
      </w:r>
      <w:r>
        <w:rPr>
          <w:rFonts w:hAnsi="宋体" w:cs="宋体" w:hint="eastAsia"/>
        </w:rPr>
        <w:t>据自身的财务状况、实际需求、风险承受能力、以及内部制度（若为机构客户），慎重决定参与报价回购交易。避免因不当参与而产生损失。</w:t>
      </w:r>
    </w:p>
    <w:p w:rsidR="00F96FB1" w:rsidRDefault="00D33884">
      <w:pPr>
        <w:widowControl/>
        <w:spacing w:line="360" w:lineRule="auto"/>
        <w:ind w:firstLineChars="150" w:firstLine="450"/>
        <w:rPr>
          <w:rFonts w:hAnsi="宋体" w:cs="宋体"/>
        </w:rPr>
      </w:pPr>
      <w:r>
        <w:rPr>
          <w:rFonts w:hAnsi="宋体" w:cs="宋体" w:hint="eastAsia"/>
        </w:rPr>
        <w:t>三、【证券公司资质】客户在参与报价回购业务前应当了解证券公司是否具有开展报价回购业务的资质。</w:t>
      </w:r>
    </w:p>
    <w:p w:rsidR="00F96FB1" w:rsidRDefault="00D33884">
      <w:pPr>
        <w:widowControl/>
        <w:spacing w:line="360" w:lineRule="auto"/>
        <w:ind w:firstLineChars="150" w:firstLine="450"/>
        <w:rPr>
          <w:rFonts w:hAnsi="宋体" w:cs="宋体"/>
        </w:rPr>
      </w:pPr>
      <w:r>
        <w:rPr>
          <w:rFonts w:hAnsi="宋体" w:cs="宋体" w:hint="eastAsia"/>
        </w:rPr>
        <w:t>四、【潜在的“自我代理”风险】-报价回购交易中，证券公司既是客户的交易对手方，同时又接受客户委托代为办理有关交易、登记结算等事宜，存在因证券公司内部控制疏漏所导致的利益冲突风险。</w:t>
      </w:r>
    </w:p>
    <w:p w:rsidR="00F96FB1" w:rsidRDefault="00D33884">
      <w:pPr>
        <w:spacing w:line="360" w:lineRule="auto"/>
        <w:ind w:firstLineChars="150" w:firstLine="450"/>
        <w:rPr>
          <w:rFonts w:hAnsi="宋体" w:cs="宋体"/>
        </w:rPr>
      </w:pPr>
      <w:r>
        <w:rPr>
          <w:rFonts w:hAnsi="宋体" w:cs="宋体" w:hint="eastAsia"/>
        </w:rPr>
        <w:lastRenderedPageBreak/>
        <w:t>五、</w:t>
      </w:r>
      <w:r>
        <w:rPr>
          <w:rFonts w:hAnsi="宋体" w:cs="宋体" w:hint="eastAsia"/>
          <w:color w:val="000000"/>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rPr>
        <w:t>T+1日仍无法完成资金划付，则属于违约，相应的违约方应承担违约责任。</w:t>
      </w:r>
    </w:p>
    <w:p w:rsidR="00F96FB1" w:rsidRDefault="00D33884">
      <w:pPr>
        <w:spacing w:line="360" w:lineRule="auto"/>
        <w:ind w:firstLineChars="150" w:firstLine="450"/>
        <w:rPr>
          <w:rFonts w:hAnsi="宋体" w:cs="宋体"/>
          <w:color w:val="000000"/>
        </w:rPr>
      </w:pPr>
      <w:r>
        <w:rPr>
          <w:rFonts w:hAnsi="宋体" w:cs="宋体" w:hint="eastAsia"/>
          <w:color w:val="000000"/>
        </w:rPr>
        <w:t>六、【共有质权】=报价回购</w:t>
      </w:r>
      <w:r>
        <w:rPr>
          <w:rFonts w:hAnsi="Cambria" w:hint="eastAsia"/>
          <w:lang w:bidi="en-US"/>
        </w:rPr>
        <w:t>交易</w:t>
      </w:r>
      <w:r>
        <w:rPr>
          <w:rFonts w:hAnsi="宋体" w:cs="宋体" w:hint="eastAsia"/>
          <w:color w:val="000000"/>
        </w:rPr>
        <w:t>全部质押券设定的质权由证券公司所有报价回购未到期以及购回交易未完成资金划付的客户共同享有</w:t>
      </w:r>
      <w:r>
        <w:rPr>
          <w:rFonts w:hAnsi="宋体" w:cs="宋体"/>
          <w:color w:val="000000"/>
        </w:rPr>
        <w:t>,客户所享有的质权不对应具体质押券品种，客户不得单独就质押券主张行使质权。当证券公司违约时，全体质权人可以共同行使质权。质押券处置所得由客户按债权比例公平受偿。</w:t>
      </w:r>
    </w:p>
    <w:p w:rsidR="00F96FB1" w:rsidRDefault="00D33884">
      <w:pPr>
        <w:spacing w:line="360" w:lineRule="auto"/>
        <w:ind w:firstLineChars="150" w:firstLine="450"/>
        <w:rPr>
          <w:rFonts w:hAnsi="宋体" w:cs="宋体"/>
          <w:color w:val="000000"/>
        </w:rPr>
      </w:pPr>
      <w:r>
        <w:rPr>
          <w:rFonts w:hAnsi="宋体" w:cs="宋体" w:hint="eastAsia"/>
          <w:color w:val="000000"/>
        </w:rPr>
        <w:t>七、</w:t>
      </w:r>
      <w:r>
        <w:rPr>
          <w:rFonts w:hAnsi="宋体" w:cs="宋体" w:hint="eastAsia"/>
        </w:rPr>
        <w:t>【信用风险】</w:t>
      </w:r>
      <w:r>
        <w:rPr>
          <w:rFonts w:hAnsi="宋体" w:cs="宋体" w:hint="eastAsia"/>
          <w:color w:val="000000"/>
        </w:rPr>
        <w:t>报价回购</w:t>
      </w:r>
      <w:r>
        <w:rPr>
          <w:rFonts w:hAnsi="Cambria" w:hint="eastAsia"/>
          <w:lang w:bidi="en-US"/>
        </w:rPr>
        <w:t>交易</w:t>
      </w:r>
      <w:r>
        <w:rPr>
          <w:rFonts w:hAnsi="宋体" w:cs="宋体" w:hint="eastAsia"/>
          <w:color w:val="000000"/>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rsidR="00F96FB1" w:rsidRDefault="00D33884">
      <w:pPr>
        <w:spacing w:line="360" w:lineRule="auto"/>
        <w:ind w:firstLineChars="150" w:firstLine="450"/>
        <w:rPr>
          <w:rFonts w:hAnsi="宋体" w:cs="宋体"/>
          <w:color w:val="000000"/>
        </w:rPr>
      </w:pPr>
      <w:r>
        <w:rPr>
          <w:rFonts w:hAnsi="宋体" w:cs="宋体" w:hint="eastAsia"/>
          <w:color w:val="000000"/>
        </w:rPr>
        <w:t>八、</w:t>
      </w:r>
      <w:r>
        <w:rPr>
          <w:rFonts w:hAnsi="宋体" w:cs="宋体" w:hint="eastAsia"/>
        </w:rPr>
        <w:t>【业务终止】</w:t>
      </w:r>
      <w:r>
        <w:rPr>
          <w:rFonts w:hAnsi="宋体" w:cs="宋体" w:hint="eastAsia"/>
          <w:color w:val="000000"/>
        </w:rPr>
        <w:t>证券公司报价回购</w:t>
      </w:r>
      <w:r>
        <w:rPr>
          <w:rFonts w:hAnsi="Cambria" w:hint="eastAsia"/>
          <w:lang w:bidi="en-US"/>
        </w:rPr>
        <w:t>业务</w:t>
      </w:r>
      <w:r>
        <w:rPr>
          <w:rFonts w:hAnsi="宋体" w:cs="宋体" w:hint="eastAsia"/>
          <w:color w:val="000000"/>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rsidR="00F96FB1" w:rsidRDefault="00D33884">
      <w:pPr>
        <w:widowControl/>
        <w:spacing w:line="360" w:lineRule="auto"/>
        <w:rPr>
          <w:rFonts w:hAnsi="宋体" w:cs="宋体"/>
        </w:rPr>
      </w:pPr>
      <w:r>
        <w:rPr>
          <w:rFonts w:hAnsi="宋体" w:cs="宋体" w:hint="eastAsia"/>
        </w:rPr>
        <w:lastRenderedPageBreak/>
        <w:t>九</w:t>
      </w:r>
      <w:r>
        <w:rPr>
          <w:rFonts w:hAnsi="宋体" w:cs="宋体" w:hint="eastAsia"/>
          <w:color w:val="000000"/>
        </w:rPr>
        <w:t>、【质押券的选择标准与担保价值计算】《客户协议》中对质押券选择与担保价值计算依据的约定，由此带来的损失或风险由客户自行承担。</w:t>
      </w:r>
    </w:p>
    <w:p w:rsidR="00F96FB1" w:rsidRDefault="00D33884">
      <w:pPr>
        <w:widowControl/>
        <w:spacing w:line="360" w:lineRule="auto"/>
        <w:rPr>
          <w:rFonts w:hAnsi="宋体" w:cs="宋体"/>
        </w:rPr>
      </w:pPr>
      <w:r>
        <w:rPr>
          <w:rFonts w:hAnsi="宋体" w:cs="宋体" w:hint="eastAsia"/>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rsidR="00F96FB1" w:rsidRDefault="00D33884">
      <w:pPr>
        <w:spacing w:line="360" w:lineRule="auto"/>
        <w:rPr>
          <w:rFonts w:hAnsi="宋体" w:cs="宋体"/>
        </w:rPr>
      </w:pPr>
      <w:r>
        <w:rPr>
          <w:rFonts w:hAnsi="宋体" w:cs="宋体" w:hint="eastAsia"/>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rsidR="00F96FB1" w:rsidRDefault="00D33884">
      <w:pPr>
        <w:pStyle w:val="af"/>
        <w:spacing w:line="360" w:lineRule="auto"/>
        <w:ind w:firstLine="600"/>
        <w:rPr>
          <w:rFonts w:ascii="仿宋_GB2312" w:eastAsia="仿宋_GB2312"/>
          <w:sz w:val="30"/>
          <w:szCs w:val="30"/>
        </w:rPr>
      </w:pPr>
      <w:r>
        <w:rPr>
          <w:rFonts w:ascii="仿宋_GB2312" w:eastAsia="仿宋_GB2312" w:hint="eastAsia"/>
          <w:sz w:val="30"/>
          <w:szCs w:val="30"/>
        </w:rPr>
        <w:t>十二、【操作风险】证券公司、上交所、中国结算上海分公司等在业务操作过程中，可能因操作失误或违反操作规程而给客户带来风险。</w:t>
      </w:r>
    </w:p>
    <w:p w:rsidR="00F96FB1" w:rsidRDefault="00D33884">
      <w:pPr>
        <w:widowControl/>
        <w:spacing w:line="360" w:lineRule="auto"/>
        <w:rPr>
          <w:rFonts w:hAnsi="宋体" w:cs="宋体"/>
        </w:rPr>
      </w:pPr>
      <w:r>
        <w:rPr>
          <w:rFonts w:hAnsi="宋体" w:cs="宋体" w:hint="eastAsia"/>
        </w:rPr>
        <w:t>十三、【操作风险】客户应当妥善保管资金账户卡、身份证件和交易密码等资料，如客户将证券账户、身份证件、交易密码等出借给他人使用，由此造成的后果由客户承担。</w:t>
      </w:r>
    </w:p>
    <w:p w:rsidR="00F96FB1" w:rsidRDefault="00D33884">
      <w:pPr>
        <w:widowControl/>
        <w:spacing w:line="360" w:lineRule="auto"/>
        <w:rPr>
          <w:rFonts w:hAnsi="宋体" w:cs="宋体"/>
        </w:rPr>
      </w:pPr>
      <w:r>
        <w:rPr>
          <w:rFonts w:hAnsi="宋体" w:cs="宋体" w:hint="eastAsia"/>
        </w:rPr>
        <w:t>十四、【操作风险】在报价回购交易的存续期间，证券公司将以《客户协议》约定的通知与送达方式及通讯地址，向其发送通知。通知发出并经过约定的时间后，将视作证券公司已经履行</w:t>
      </w:r>
      <w:r>
        <w:rPr>
          <w:rFonts w:hAnsi="宋体" w:cs="宋体" w:hint="eastAsia"/>
        </w:rPr>
        <w:lastRenderedPageBreak/>
        <w:t>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rsidR="00F96FB1" w:rsidRDefault="00D33884">
      <w:pPr>
        <w:widowControl/>
        <w:spacing w:line="360" w:lineRule="auto"/>
        <w:rPr>
          <w:rFonts w:hAnsi="宋体" w:cs="宋体"/>
        </w:rPr>
      </w:pPr>
      <w:r>
        <w:rPr>
          <w:rFonts w:hAnsi="宋体" w:cs="宋体" w:hint="eastAsia"/>
        </w:rPr>
        <w:t>十五、【政策风险】由于国家法律、法规、政策、交易所规则的变化、修改等原因，可能会对客户的存续交易产生不利影响，甚至造成经济损失。</w:t>
      </w:r>
    </w:p>
    <w:p w:rsidR="00F96FB1" w:rsidRDefault="00D33884">
      <w:pPr>
        <w:spacing w:line="360" w:lineRule="auto"/>
        <w:rPr>
          <w:rFonts w:hAnsi="宋体" w:cs="宋体"/>
        </w:rPr>
      </w:pPr>
      <w:r>
        <w:rPr>
          <w:rFonts w:hAnsi="宋体" w:cs="宋体" w:hint="eastAsia"/>
        </w:rPr>
        <w:t>十六、【技术风险】在报价回购交易过程中，可能因为证券公司、上交所或中国结算上海分公司的技术系统故障或者差错而影响交易的正常进行或者导致客户的利益受到影响。</w:t>
      </w:r>
    </w:p>
    <w:p w:rsidR="00F96FB1" w:rsidRDefault="00D33884">
      <w:pPr>
        <w:widowControl/>
        <w:spacing w:line="360" w:lineRule="auto"/>
        <w:rPr>
          <w:rFonts w:hAnsi="宋体" w:cs="宋体"/>
        </w:rPr>
      </w:pPr>
      <w:r>
        <w:rPr>
          <w:rFonts w:hAnsi="宋体" w:cs="宋体" w:hint="eastAsia"/>
        </w:rPr>
        <w:t>十七、【不可抗力风险】在报价回购交易的存续期间，如果因出现火灾、地震、瘟疫、社会动乱等不能预见、避免或克服的不可抗力情形，可能会给客户造成经济损失。</w:t>
      </w:r>
    </w:p>
    <w:p w:rsidR="00F96FB1" w:rsidRDefault="00D33884">
      <w:pPr>
        <w:widowControl/>
        <w:spacing w:line="360" w:lineRule="auto"/>
        <w:rPr>
          <w:rFonts w:hAnsi="宋体" w:cs="宋体"/>
        </w:rPr>
      </w:pPr>
      <w:r>
        <w:rPr>
          <w:rFonts w:hAnsi="宋体" w:cs="宋体" w:hint="eastAsia"/>
        </w:rPr>
        <w:t>十八、【其他风险】因报价回购业务产生的任何争议、纠纷，由客户和证券公司双方协商或通过诉讼仲裁方式解决，与任何第三方无关，客户不得就本报价回购业务向任何第三方主张权利或追究责任。</w:t>
      </w:r>
    </w:p>
    <w:p w:rsidR="00F96FB1" w:rsidRDefault="00D33884">
      <w:pPr>
        <w:widowControl/>
        <w:spacing w:line="360" w:lineRule="auto"/>
        <w:rPr>
          <w:rFonts w:hAnsi="宋体" w:cs="宋体"/>
        </w:rPr>
      </w:pPr>
      <w:r>
        <w:rPr>
          <w:rFonts w:hAnsi="宋体" w:cs="宋体" w:hint="eastAsia"/>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rsidR="00F96FB1" w:rsidRDefault="00D33884">
      <w:pPr>
        <w:widowControl/>
        <w:spacing w:line="240" w:lineRule="auto"/>
        <w:ind w:firstLineChars="0" w:firstLine="0"/>
        <w:jc w:val="left"/>
        <w:rPr>
          <w:rFonts w:hAnsi="宋体" w:cs="宋体"/>
          <w:sz w:val="24"/>
          <w:szCs w:val="24"/>
        </w:rPr>
      </w:pPr>
      <w:r>
        <w:rPr>
          <w:rFonts w:hAnsi="宋体" w:cs="宋体"/>
          <w:sz w:val="24"/>
          <w:szCs w:val="24"/>
        </w:rPr>
        <w:lastRenderedPageBreak/>
        <w:br w:type="page"/>
      </w:r>
    </w:p>
    <w:p w:rsidR="00F96FB1" w:rsidRDefault="00D33884">
      <w:pPr>
        <w:pStyle w:val="1"/>
        <w:ind w:firstLineChars="0" w:firstLine="0"/>
        <w:rPr>
          <w:sz w:val="36"/>
          <w:szCs w:val="36"/>
        </w:rPr>
      </w:pPr>
      <w:bookmarkStart w:id="37" w:name="_Toc117606506"/>
      <w:r>
        <w:rPr>
          <w:sz w:val="36"/>
          <w:szCs w:val="36"/>
        </w:rPr>
        <w:lastRenderedPageBreak/>
        <w:t xml:space="preserve">II. </w:t>
      </w:r>
      <w:r>
        <w:rPr>
          <w:rFonts w:hint="eastAsia"/>
          <w:sz w:val="36"/>
          <w:szCs w:val="36"/>
        </w:rPr>
        <w:t>债券</w:t>
      </w:r>
      <w:bookmarkEnd w:id="37"/>
    </w:p>
    <w:p w:rsidR="00F96FB1" w:rsidRDefault="00F96FB1">
      <w:pPr>
        <w:spacing w:line="360" w:lineRule="auto"/>
        <w:ind w:firstLine="480"/>
        <w:rPr>
          <w:sz w:val="24"/>
          <w:szCs w:val="24"/>
        </w:rPr>
      </w:pPr>
    </w:p>
    <w:p w:rsidR="00F96FB1" w:rsidRDefault="00D33884">
      <w:pPr>
        <w:pStyle w:val="2"/>
        <w:rPr>
          <w:sz w:val="36"/>
          <w:szCs w:val="36"/>
        </w:rPr>
      </w:pPr>
      <w:bookmarkStart w:id="38" w:name="_Toc80026804"/>
      <w:bookmarkStart w:id="39" w:name="_Toc117606507"/>
      <w:r>
        <w:rPr>
          <w:sz w:val="36"/>
          <w:szCs w:val="36"/>
        </w:rPr>
        <w:t xml:space="preserve">2.1 </w:t>
      </w:r>
      <w:r>
        <w:rPr>
          <w:rFonts w:hint="eastAsia"/>
          <w:sz w:val="36"/>
          <w:szCs w:val="36"/>
        </w:rPr>
        <w:t>上海证券交易所国债预发行交易投资者风险揭示书必备条款</w:t>
      </w:r>
      <w:bookmarkEnd w:id="38"/>
      <w:bookmarkEnd w:id="39"/>
    </w:p>
    <w:p w:rsidR="00F96FB1" w:rsidRDefault="00D33884">
      <w:pPr>
        <w:spacing w:line="360" w:lineRule="auto"/>
        <w:ind w:firstLine="480"/>
        <w:jc w:val="center"/>
        <w:rPr>
          <w:rFonts w:cs="Arial"/>
          <w:sz w:val="24"/>
          <w:szCs w:val="24"/>
        </w:rPr>
      </w:pPr>
      <w:r>
        <w:rPr>
          <w:rFonts w:cs="Arial" w:hint="eastAsia"/>
          <w:sz w:val="24"/>
          <w:szCs w:val="24"/>
        </w:rPr>
        <w:t>（2013年9月26日发布）</w:t>
      </w:r>
    </w:p>
    <w:p w:rsidR="00F96FB1" w:rsidRDefault="00F96FB1">
      <w:pPr>
        <w:spacing w:line="360" w:lineRule="auto"/>
        <w:ind w:firstLine="480"/>
        <w:jc w:val="center"/>
        <w:rPr>
          <w:rFonts w:cs="Arial"/>
          <w:sz w:val="24"/>
          <w:szCs w:val="24"/>
        </w:rPr>
      </w:pPr>
    </w:p>
    <w:p w:rsidR="00F96FB1" w:rsidRDefault="00D33884">
      <w:pPr>
        <w:spacing w:line="360" w:lineRule="auto"/>
        <w:rPr>
          <w:rFonts w:cs="Arial"/>
        </w:rPr>
      </w:pPr>
      <w:r>
        <w:rPr>
          <w:rFonts w:cs="Arial" w:hint="eastAsia"/>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rsidR="00F96FB1" w:rsidRDefault="00D33884">
      <w:pPr>
        <w:spacing w:line="360" w:lineRule="auto"/>
      </w:pPr>
      <w:r>
        <w:rPr>
          <w:rFonts w:hint="eastAsia"/>
        </w:rPr>
        <w:t>一、【总则】国债预发行交易具有操作风险、保证金交易风险、市场风险、流动性风险、违约风险、政策风险及其他各类风险。</w:t>
      </w:r>
    </w:p>
    <w:p w:rsidR="00F96FB1" w:rsidRDefault="00D33884">
      <w:pPr>
        <w:spacing w:line="360" w:lineRule="auto"/>
      </w:pPr>
      <w:r>
        <w:rPr>
          <w:rFonts w:hint="eastAsia"/>
        </w:rPr>
        <w:t>二、【投资者适当性】投资者应当根据自身的财务状况、实际需求、风险承受能力，以及内部制度（若为机构），审慎决定参与国债预发行交易。</w:t>
      </w:r>
    </w:p>
    <w:p w:rsidR="00F96FB1" w:rsidRDefault="00D33884">
      <w:pPr>
        <w:spacing w:line="360" w:lineRule="auto"/>
      </w:pPr>
      <w:r>
        <w:rPr>
          <w:rFonts w:hint="eastAsia"/>
        </w:rPr>
        <w:t>三、【操作风险】国债通过利率招标发行的，国债预发行交易采用收益率申报。采用收益率申报的国债预发行交易与采用价格申报的证券交易申报与成交有明显区别。</w:t>
      </w:r>
    </w:p>
    <w:p w:rsidR="00F96FB1" w:rsidRDefault="00D33884">
      <w:pPr>
        <w:spacing w:line="360" w:lineRule="auto"/>
      </w:pPr>
      <w:r>
        <w:rPr>
          <w:rFonts w:hint="eastAsia"/>
        </w:rPr>
        <w:t>采用收益率申报的国债预发行交易采用限价申报：卖出限价申报为按限定或者低于限定的收益率卖出标的国债；买入限价申报为按限定或高于限定的收益率买入标的国债。</w:t>
      </w:r>
    </w:p>
    <w:p w:rsidR="00F96FB1" w:rsidRDefault="00D33884">
      <w:pPr>
        <w:spacing w:line="360" w:lineRule="auto"/>
      </w:pPr>
      <w:r>
        <w:rPr>
          <w:rFonts w:hint="eastAsia"/>
        </w:rPr>
        <w:t>采用收益率申报的国债预发行交易的竞价交易撮合成交原</w:t>
      </w:r>
      <w:r>
        <w:rPr>
          <w:rFonts w:hint="eastAsia"/>
        </w:rPr>
        <w:lastRenderedPageBreak/>
        <w:t>则为“收益率优先、时间优先”。收益率优先，是指较低收益率买入申报优先于较高收益率买入申报，较高收益率卖出申报优先于较低收益率卖出申报。</w:t>
      </w:r>
    </w:p>
    <w:p w:rsidR="00F96FB1" w:rsidRDefault="00D33884">
      <w:pPr>
        <w:autoSpaceDE w:val="0"/>
        <w:autoSpaceDN w:val="0"/>
        <w:adjustRightInd w:val="0"/>
        <w:spacing w:line="360" w:lineRule="auto"/>
      </w:pPr>
      <w:r>
        <w:rPr>
          <w:rFonts w:hint="eastAsia"/>
        </w:rPr>
        <w:t>四、【保证金交易风险】国债预发行交易实行履约担保制度。中国结算以证券账户为核算单位向结算参与人收取下列保证金：</w:t>
      </w:r>
    </w:p>
    <w:p w:rsidR="00F96FB1" w:rsidRDefault="00D33884">
      <w:pPr>
        <w:autoSpaceDE w:val="0"/>
        <w:autoSpaceDN w:val="0"/>
        <w:adjustRightInd w:val="0"/>
        <w:spacing w:line="360" w:lineRule="auto"/>
      </w:pPr>
      <w:r>
        <w:rPr>
          <w:rFonts w:hint="eastAsia"/>
        </w:rPr>
        <w:t>（一）履约保证金，即为保证结算参与人对国债预发行单边头寸履行交割义务而收取的保证金。履约保证金比例由上交所和中国结算确定并向市场公布；</w:t>
      </w:r>
    </w:p>
    <w:p w:rsidR="00F96FB1" w:rsidRDefault="00D33884">
      <w:pPr>
        <w:autoSpaceDE w:val="0"/>
        <w:autoSpaceDN w:val="0"/>
        <w:adjustRightInd w:val="0"/>
        <w:spacing w:line="360" w:lineRule="auto"/>
      </w:pPr>
      <w:r>
        <w:rPr>
          <w:rFonts w:hint="eastAsia"/>
        </w:rPr>
        <w:t>（二）价差保证金，即为保证结算参与人对国债预发行平仓头寸履行结算义务而收取的保证金。</w:t>
      </w:r>
    </w:p>
    <w:p w:rsidR="00F96FB1" w:rsidRDefault="00D33884">
      <w:pPr>
        <w:autoSpaceDE w:val="0"/>
        <w:autoSpaceDN w:val="0"/>
        <w:adjustRightInd w:val="0"/>
        <w:spacing w:line="360" w:lineRule="auto"/>
      </w:pPr>
      <w:r>
        <w:rPr>
          <w:rFonts w:hint="eastAsia"/>
        </w:rPr>
        <w:t>国债通过价格招标发行的，其预发行交易保证金按照以下标准收取：</w:t>
      </w:r>
    </w:p>
    <w:p w:rsidR="00F96FB1" w:rsidRDefault="00D33884">
      <w:pPr>
        <w:autoSpaceDE w:val="0"/>
        <w:autoSpaceDN w:val="0"/>
        <w:adjustRightInd w:val="0"/>
        <w:spacing w:line="360" w:lineRule="auto"/>
      </w:pPr>
      <w:r>
        <w:rPr>
          <w:rFonts w:hint="eastAsia"/>
        </w:rPr>
        <w:t>履约保证金的计算公式为：履约保证金=∑每个证券账户单边头寸成交金额×履约保证金比例；</w:t>
      </w:r>
    </w:p>
    <w:p w:rsidR="00F96FB1" w:rsidRDefault="00D33884">
      <w:pPr>
        <w:autoSpaceDE w:val="0"/>
        <w:autoSpaceDN w:val="0"/>
        <w:adjustRightInd w:val="0"/>
        <w:spacing w:line="360" w:lineRule="auto"/>
      </w:pPr>
      <w:r>
        <w:rPr>
          <w:rFonts w:hint="eastAsia"/>
        </w:rPr>
        <w:t>价差保证金按买卖价差核算，并对亏损部分收取，计算公式为：价差保证金=max[0,∑（平仓头寸面值×买入成交价格/100）-∑（平仓头寸面值×卖出成交价格/100）]。</w:t>
      </w:r>
    </w:p>
    <w:p w:rsidR="00F96FB1" w:rsidRDefault="00D33884">
      <w:pPr>
        <w:autoSpaceDE w:val="0"/>
        <w:autoSpaceDN w:val="0"/>
        <w:adjustRightInd w:val="0"/>
        <w:spacing w:line="360" w:lineRule="auto"/>
      </w:pPr>
      <w:r>
        <w:rPr>
          <w:rFonts w:hint="eastAsia"/>
        </w:rPr>
        <w:t>国债通过利率招标发行的，其预发行交易保证金按照以下标准收取：</w:t>
      </w:r>
    </w:p>
    <w:p w:rsidR="00F96FB1" w:rsidRDefault="00D33884">
      <w:pPr>
        <w:autoSpaceDE w:val="0"/>
        <w:autoSpaceDN w:val="0"/>
        <w:adjustRightInd w:val="0"/>
        <w:spacing w:line="360" w:lineRule="auto"/>
      </w:pPr>
      <w:r>
        <w:rPr>
          <w:rFonts w:hint="eastAsia"/>
        </w:rPr>
        <w:t>履约保证金的计算公式为：履约保证金=∑每个证券账户单边头寸成交面值×履约保证金比例；</w:t>
      </w:r>
    </w:p>
    <w:p w:rsidR="00F96FB1" w:rsidRDefault="00D33884">
      <w:pPr>
        <w:autoSpaceDE w:val="0"/>
        <w:autoSpaceDN w:val="0"/>
        <w:adjustRightInd w:val="0"/>
        <w:spacing w:line="360" w:lineRule="auto"/>
      </w:pPr>
      <w:r>
        <w:rPr>
          <w:rFonts w:hint="eastAsia"/>
        </w:rPr>
        <w:t>价差保证金按预期亏损额的120%收取。计算公式为：价差保</w:t>
      </w:r>
      <w:r>
        <w:rPr>
          <w:rFonts w:hint="eastAsia"/>
        </w:rPr>
        <w:lastRenderedPageBreak/>
        <w:t>证金=max(0,</w:t>
      </w:r>
      <w:r>
        <w:t xml:space="preserve"> </w:t>
      </w:r>
      <w:r>
        <w:rPr>
          <w:rFonts w:hint="eastAsia"/>
        </w:rPr>
        <w:t>预期亏损额)×120%。</w:t>
      </w:r>
    </w:p>
    <w:p w:rsidR="00F96FB1" w:rsidRDefault="00D33884">
      <w:pPr>
        <w:autoSpaceDE w:val="0"/>
        <w:autoSpaceDN w:val="0"/>
        <w:adjustRightInd w:val="0"/>
        <w:spacing w:line="360" w:lineRule="auto"/>
      </w:pPr>
      <w:r>
        <w:rPr>
          <w:rFonts w:hint="eastAsia"/>
        </w:rPr>
        <w:t xml:space="preserve">其中，预期亏损额= </w:t>
      </w:r>
      <w:r w:rsidR="00F96FB1">
        <w:rPr>
          <w:rFonts w:hint="eastAsia"/>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75pt" o:ole="">
            <v:imagedata r:id="rId14" o:title=""/>
          </v:shape>
          <o:OLEObject Type="Embed" ProgID="Equation.DSMT4" ShapeID="_x0000_i1025" DrawAspect="Content" ObjectID="_1738071763" r:id="rId15"/>
        </w:object>
      </w:r>
      <w:r>
        <w:rPr>
          <w:rFonts w:hint="eastAsia"/>
        </w:rPr>
        <w:t>（平仓头寸面值×卖出收益率×参考久期）-</w:t>
      </w:r>
      <w:r w:rsidR="00F96FB1">
        <w:rPr>
          <w:rFonts w:hint="eastAsia"/>
        </w:rPr>
        <w:object w:dxaOrig="460" w:dyaOrig="400">
          <v:shape id="_x0000_i1026" type="#_x0000_t75" style="width:21pt;height:15.75pt" o:ole="">
            <v:imagedata r:id="rId14" o:title=""/>
          </v:shape>
          <o:OLEObject Type="Embed" ProgID="Equation.DSMT4" ShapeID="_x0000_i1026" DrawAspect="Content" ObjectID="_1738071764" r:id="rId16"/>
        </w:object>
      </w:r>
      <w:r>
        <w:rPr>
          <w:rFonts w:hint="eastAsia"/>
        </w:rPr>
        <w:t>（平仓头寸面值×买入收益率×参考久期）。参考久期由上交所在该国债预发行交易品种上市时公布，其计算公式如下：</w:t>
      </w:r>
    </w:p>
    <w:p w:rsidR="00F96FB1" w:rsidRDefault="00F96FB1">
      <w:pPr>
        <w:autoSpaceDE w:val="0"/>
        <w:autoSpaceDN w:val="0"/>
        <w:adjustRightInd w:val="0"/>
        <w:spacing w:line="360" w:lineRule="auto"/>
      </w:pPr>
      <w:r>
        <w:rPr>
          <w:rFonts w:hint="eastAsia"/>
        </w:rPr>
        <w:object w:dxaOrig="3380" w:dyaOrig="720">
          <v:shape id="_x0000_i1027" type="#_x0000_t75" style="width:144.75pt;height:31.5pt" o:ole="">
            <v:imagedata r:id="rId17" o:title=""/>
          </v:shape>
          <o:OLEObject Type="Embed" ProgID="Equation.DSMT4" ShapeID="_x0000_i1027" DrawAspect="Content" ObjectID="_1738071765" r:id="rId18"/>
        </w:object>
      </w:r>
    </w:p>
    <w:p w:rsidR="00F96FB1" w:rsidRDefault="00D33884">
      <w:pPr>
        <w:autoSpaceDE w:val="0"/>
        <w:autoSpaceDN w:val="0"/>
        <w:adjustRightInd w:val="0"/>
        <w:spacing w:line="360" w:lineRule="auto"/>
      </w:pPr>
      <w:r>
        <w:rPr>
          <w:rFonts w:hint="eastAsia"/>
        </w:rPr>
        <w:t>其中，y为上交所公布的该期限国债到期收益率，f为年付息频率，n为标的国债发行期限。</w:t>
      </w:r>
    </w:p>
    <w:p w:rsidR="00F96FB1" w:rsidRDefault="00D33884">
      <w:pPr>
        <w:autoSpaceDE w:val="0"/>
        <w:autoSpaceDN w:val="0"/>
        <w:adjustRightInd w:val="0"/>
        <w:spacing w:line="360" w:lineRule="auto"/>
      </w:pPr>
      <w:r>
        <w:rPr>
          <w:rFonts w:hint="eastAsia"/>
        </w:rPr>
        <w:t>其中单边头寸是指单向净买入或净卖出的头寸，平仓头寸是指先买入后又卖出或者先卖出后又买入的头寸。平仓头寸按成交时间由先到后的顺序予以确定。</w:t>
      </w:r>
    </w:p>
    <w:p w:rsidR="00F96FB1" w:rsidRDefault="00D33884">
      <w:pPr>
        <w:autoSpaceDE w:val="0"/>
        <w:autoSpaceDN w:val="0"/>
        <w:adjustRightInd w:val="0"/>
        <w:spacing w:line="360" w:lineRule="auto"/>
      </w:pPr>
      <w:r>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rsidR="00F96FB1" w:rsidRDefault="00D33884">
      <w:pPr>
        <w:autoSpaceDE w:val="0"/>
        <w:autoSpaceDN w:val="0"/>
        <w:adjustRightInd w:val="0"/>
        <w:spacing w:line="360" w:lineRule="auto"/>
      </w:pPr>
      <w:r>
        <w:rPr>
          <w:rFonts w:hint="eastAsia"/>
        </w:rPr>
        <w:t>由于国债预发行交易采用保证金交易方式，具有杠杆性，存在潜在损失放大的可能。</w:t>
      </w:r>
    </w:p>
    <w:p w:rsidR="00F96FB1" w:rsidRDefault="00D33884">
      <w:pPr>
        <w:spacing w:line="360" w:lineRule="auto"/>
      </w:pPr>
      <w:r>
        <w:rPr>
          <w:rFonts w:hint="eastAsia"/>
        </w:rPr>
        <w:t>五、【市场风险】由于市场环境或供求关系等因素导致的国债预发行交易价格波动的风险。</w:t>
      </w:r>
    </w:p>
    <w:p w:rsidR="00F96FB1" w:rsidRDefault="00D33884">
      <w:pPr>
        <w:spacing w:line="360" w:lineRule="auto"/>
      </w:pPr>
      <w:r>
        <w:rPr>
          <w:rFonts w:hint="eastAsia"/>
        </w:rPr>
        <w:t>六、【流动性风险】投资者在短期内无法以合理价格买入或</w:t>
      </w:r>
      <w:r>
        <w:rPr>
          <w:rFonts w:hint="eastAsia"/>
        </w:rPr>
        <w:lastRenderedPageBreak/>
        <w:t>卖出标的国债，从而遭受损失的风险。</w:t>
      </w:r>
    </w:p>
    <w:p w:rsidR="00F96FB1" w:rsidRDefault="00D33884">
      <w:pPr>
        <w:spacing w:line="360" w:lineRule="auto"/>
      </w:pPr>
      <w:r>
        <w:rPr>
          <w:rFonts w:hint="eastAsia"/>
        </w:rPr>
        <w:t>七、【资金交收风险】国债预发行交易结束后，中国结算将按照结算价格进行标的国债交割，若持有国债净买入余额的投资者资金不足，将面临交收风险。</w:t>
      </w:r>
    </w:p>
    <w:p w:rsidR="00F96FB1" w:rsidRDefault="00D33884">
      <w:pPr>
        <w:spacing w:line="360" w:lineRule="auto"/>
      </w:pPr>
      <w:r>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rsidR="00F96FB1" w:rsidRDefault="00D33884">
      <w:pPr>
        <w:spacing w:line="360" w:lineRule="auto"/>
      </w:pPr>
      <w:r>
        <w:rPr>
          <w:rFonts w:hint="eastAsia"/>
        </w:rPr>
        <w:t>九、【现金结算风险】投资者无法获得的国债预发行交易标的国债部分，将采用现金结算。发生现金结算时：</w:t>
      </w:r>
    </w:p>
    <w:p w:rsidR="00F96FB1" w:rsidRDefault="00D33884">
      <w:pPr>
        <w:spacing w:line="360" w:lineRule="auto"/>
      </w:pPr>
      <w:r>
        <w:rPr>
          <w:rFonts w:hint="eastAsia"/>
        </w:rPr>
        <w:t>投资者国债预发行交易应付金额=∑（买入成交面值×结算价格/100）-∑（卖出成交面值×结算价格/100）-未获得的国债面值×现金结算价格/100</w:t>
      </w:r>
    </w:p>
    <w:p w:rsidR="00F96FB1" w:rsidRDefault="00D33884">
      <w:pPr>
        <w:spacing w:line="360" w:lineRule="auto"/>
      </w:pPr>
      <w:r>
        <w:rPr>
          <w:rFonts w:hint="eastAsia"/>
        </w:rPr>
        <w:t>国债通过价格招标发行的，其结算价格为实际成交价格,现金结算价格为该券种当次发行价格；</w:t>
      </w:r>
    </w:p>
    <w:p w:rsidR="00F96FB1" w:rsidRDefault="00D33884">
      <w:pPr>
        <w:spacing w:line="360" w:lineRule="auto"/>
      </w:pPr>
      <w:r>
        <w:rPr>
          <w:rFonts w:hint="eastAsia"/>
        </w:rPr>
        <w:t>国债通过利率招标发行的，其结算价格为按照以下公式计算的理论结算价格：</w:t>
      </w:r>
    </w:p>
    <w:p w:rsidR="00F96FB1" w:rsidRDefault="00F96FB1">
      <w:pPr>
        <w:spacing w:line="360" w:lineRule="auto"/>
      </w:pPr>
      <w:r>
        <w:rPr>
          <w:rFonts w:hint="eastAsia"/>
        </w:rPr>
        <w:object w:dxaOrig="4600" w:dyaOrig="680">
          <v:shape id="_x0000_i1028" type="#_x0000_t75" style="width:219.75pt;height:33pt" o:ole="">
            <v:imagedata r:id="rId19" o:title=""/>
          </v:shape>
          <o:OLEObject Type="Embed" ProgID="Equation.DSMT4" ShapeID="_x0000_i1028" DrawAspect="Content" ObjectID="_1738071766" r:id="rId20"/>
        </w:object>
      </w:r>
    </w:p>
    <w:p w:rsidR="00F96FB1" w:rsidRDefault="00D33884">
      <w:pPr>
        <w:spacing w:line="360" w:lineRule="auto"/>
      </w:pPr>
      <w:r>
        <w:rPr>
          <w:rFonts w:hint="eastAsia"/>
        </w:rPr>
        <w:lastRenderedPageBreak/>
        <w:t>其中</w:t>
      </w:r>
      <w:r>
        <w:t xml:space="preserve"> C </w:t>
      </w:r>
      <w:r>
        <w:rPr>
          <w:rFonts w:hint="eastAsia"/>
        </w:rPr>
        <w:t>为预发行国债发行票面利率，R为预发行交易成交收益率，f为年付息频率，n为预发行国债的期限。其现金结算价格为该券种发行面值。</w:t>
      </w:r>
    </w:p>
    <w:p w:rsidR="00F96FB1" w:rsidRDefault="00D33884">
      <w:pPr>
        <w:spacing w:line="360" w:lineRule="auto"/>
      </w:pPr>
      <w:r>
        <w:rPr>
          <w:rFonts w:hint="eastAsia"/>
        </w:rPr>
        <w:t>中国结算对国债预发行交易证券交收不足部分向未能足额交付应付证券结算参与人收取补偿金并支付给未能足额收到应收证券的结算参与人，再由后者支付给其名下未能足额收到应收证券的投资者。</w:t>
      </w:r>
    </w:p>
    <w:p w:rsidR="00F96FB1" w:rsidRDefault="00D33884">
      <w:pPr>
        <w:spacing w:line="360" w:lineRule="auto"/>
      </w:pPr>
      <w:r>
        <w:rPr>
          <w:rFonts w:hint="eastAsia"/>
        </w:rPr>
        <w:t>因现金结算价格根据招标结果确定，</w:t>
      </w:r>
      <w:r>
        <w:rPr>
          <w:rFonts w:hint="eastAsia"/>
          <w:color w:val="000000"/>
        </w:rPr>
        <w:t>所以存在该价格低于投资者买入价格的可能，同时也存在买入价格和现金结算价格之间</w:t>
      </w:r>
      <w:r>
        <w:rPr>
          <w:rFonts w:hint="eastAsia"/>
        </w:rPr>
        <w:t>的价差大于补偿金的可能。</w:t>
      </w:r>
    </w:p>
    <w:p w:rsidR="00F96FB1" w:rsidRDefault="00D33884">
      <w:pPr>
        <w:spacing w:line="360" w:lineRule="auto"/>
      </w:pPr>
      <w:r>
        <w:rPr>
          <w:rFonts w:hint="eastAsia"/>
        </w:rPr>
        <w:t>十、【国债发行取消的风险】如当次国债发行取消，已发生的国债预发行成交将作无效处理。</w:t>
      </w:r>
    </w:p>
    <w:p w:rsidR="00F96FB1" w:rsidRDefault="00D33884">
      <w:pPr>
        <w:spacing w:line="360" w:lineRule="auto"/>
      </w:pPr>
      <w:r>
        <w:rPr>
          <w:rFonts w:hint="eastAsia"/>
        </w:rPr>
        <w:t>十一、【政策风险】由于国家法律、法规、政策、上交所和中国结算规则的变化、修改等原因，可能会对投资者的交易产生不利影响，甚至造成经济损失。</w:t>
      </w:r>
    </w:p>
    <w:p w:rsidR="00F96FB1" w:rsidRDefault="00D33884">
      <w:pPr>
        <w:spacing w:line="360" w:lineRule="auto"/>
        <w:rPr>
          <w:sz w:val="24"/>
          <w:szCs w:val="24"/>
        </w:rPr>
      </w:pPr>
      <w:r>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rsidR="00F96FB1" w:rsidRDefault="00D33884">
      <w:pPr>
        <w:widowControl/>
        <w:spacing w:line="240" w:lineRule="auto"/>
        <w:ind w:firstLineChars="0" w:firstLine="0"/>
        <w:jc w:val="left"/>
        <w:rPr>
          <w:rFonts w:ascii="宋体" w:eastAsia="宋体" w:hAnsi="宋体"/>
          <w:b/>
          <w:kern w:val="24"/>
          <w:sz w:val="36"/>
          <w:szCs w:val="36"/>
        </w:rPr>
      </w:pPr>
      <w:r>
        <w:rPr>
          <w:kern w:val="24"/>
          <w:sz w:val="24"/>
          <w:szCs w:val="24"/>
        </w:rPr>
        <w:br w:type="page"/>
      </w:r>
    </w:p>
    <w:p w:rsidR="00F96FB1" w:rsidRDefault="00D33884">
      <w:pPr>
        <w:pStyle w:val="2"/>
        <w:rPr>
          <w:sz w:val="36"/>
          <w:szCs w:val="36"/>
        </w:rPr>
      </w:pPr>
      <w:bookmarkStart w:id="40" w:name="OLE_LINK2"/>
      <w:bookmarkStart w:id="41" w:name="_Toc117606508"/>
      <w:bookmarkStart w:id="42" w:name="OLE_LINK1"/>
      <w:r>
        <w:rPr>
          <w:sz w:val="36"/>
          <w:szCs w:val="36"/>
        </w:rPr>
        <w:lastRenderedPageBreak/>
        <w:t>2.</w:t>
      </w:r>
      <w:r>
        <w:rPr>
          <w:rFonts w:hint="eastAsia"/>
          <w:sz w:val="36"/>
          <w:szCs w:val="36"/>
        </w:rPr>
        <w:t>2</w:t>
      </w:r>
      <w:r>
        <w:rPr>
          <w:sz w:val="36"/>
          <w:szCs w:val="36"/>
        </w:rPr>
        <w:t xml:space="preserve"> </w:t>
      </w:r>
      <w:r>
        <w:rPr>
          <w:rFonts w:hint="eastAsia"/>
          <w:sz w:val="36"/>
          <w:szCs w:val="36"/>
        </w:rPr>
        <w:t>上海证券交易所向不特定对象发行的可转换公司债券投资者风险揭示书必备条款</w:t>
      </w:r>
      <w:bookmarkEnd w:id="40"/>
      <w:bookmarkEnd w:id="41"/>
      <w:bookmarkEnd w:id="42"/>
    </w:p>
    <w:p w:rsidR="00F96FB1" w:rsidRDefault="00D33884">
      <w:pPr>
        <w:widowControl/>
        <w:spacing w:line="360" w:lineRule="auto"/>
        <w:ind w:firstLine="480"/>
        <w:jc w:val="center"/>
        <w:rPr>
          <w:bCs/>
          <w:sz w:val="24"/>
          <w:szCs w:val="24"/>
        </w:rPr>
      </w:pPr>
      <w:r>
        <w:rPr>
          <w:rFonts w:hint="eastAsia"/>
          <w:bCs/>
          <w:sz w:val="24"/>
          <w:szCs w:val="24"/>
        </w:rPr>
        <w:t>（2022年7月29日修订）</w:t>
      </w:r>
    </w:p>
    <w:p w:rsidR="00F96FB1" w:rsidRDefault="00F96FB1">
      <w:pPr>
        <w:widowControl/>
        <w:spacing w:line="360" w:lineRule="auto"/>
        <w:ind w:firstLine="480"/>
        <w:jc w:val="center"/>
        <w:rPr>
          <w:bCs/>
          <w:sz w:val="24"/>
          <w:szCs w:val="24"/>
        </w:rPr>
      </w:pP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二、网上投资者连续</w:t>
      </w:r>
      <w:r>
        <w:rPr>
          <w:rFonts w:ascii="仿宋_GB2312" w:eastAsia="仿宋_GB2312" w:hAnsi="仿宋"/>
          <w:bCs/>
          <w:sz w:val="30"/>
          <w:szCs w:val="30"/>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ascii="仿宋_GB2312" w:eastAsia="仿宋_GB2312" w:hAnsi="仿宋" w:hint="eastAsia"/>
          <w:bCs/>
          <w:sz w:val="30"/>
          <w:szCs w:val="30"/>
        </w:rPr>
        <w:t>和存托凭证的次数合并计算。</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三、网下投资者应当结合行业监管要求、资产规模等合理确定申购金额，不得超资产规模申购，承销商可以认定超资产规模的申购为无效申购。</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四、最近一期末经审计的净资产不低于人民币</w:t>
      </w:r>
      <w:r>
        <w:rPr>
          <w:rFonts w:ascii="仿宋_GB2312" w:eastAsia="仿宋_GB2312" w:hAnsi="仿宋"/>
          <w:bCs/>
          <w:sz w:val="30"/>
          <w:szCs w:val="30"/>
        </w:rPr>
        <w:t>15亿元的上市公司发行的可转债</w:t>
      </w:r>
      <w:r>
        <w:rPr>
          <w:rFonts w:ascii="仿宋_GB2312" w:eastAsia="仿宋_GB2312" w:hAnsi="仿宋" w:hint="eastAsia"/>
          <w:bCs/>
          <w:sz w:val="30"/>
          <w:szCs w:val="30"/>
        </w:rPr>
        <w:t>、科创板上市公司发行的可转债，可能因未设定担保增加本息不能偿付的风险。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五、可转债的信用评级可能因发行人经营管理或者财务状况等因素而出现下调，继而影响可转债的债券市场交易价格。投资者应当关注可转债的跟踪评级报告。</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六、可转债实行当日回转交易。采用匹配成交方式的，上市首日的涨幅比例为57.3%、跌幅比例为43.3%，盘中价格较发行价首次上涨或者下跌</w:t>
      </w:r>
      <w:r>
        <w:rPr>
          <w:rFonts w:ascii="仿宋_GB2312" w:eastAsia="仿宋_GB2312" w:hAnsi="仿宋"/>
          <w:bCs/>
          <w:sz w:val="30"/>
          <w:szCs w:val="30"/>
        </w:rPr>
        <w:t>20%的，实施盘中临时停牌30分钟；盘中价格较发行价首次上涨或者下跌30%的，实施盘中临时停牌</w:t>
      </w:r>
      <w:r>
        <w:rPr>
          <w:rFonts w:ascii="仿宋_GB2312" w:eastAsia="仿宋_GB2312" w:hint="eastAsia"/>
          <w:sz w:val="30"/>
          <w:szCs w:val="30"/>
        </w:rPr>
        <w:t>至当日14:57</w:t>
      </w:r>
      <w:r>
        <w:rPr>
          <w:rFonts w:ascii="仿宋_GB2312" w:eastAsia="仿宋_GB2312" w:hAnsi="仿宋" w:hint="eastAsia"/>
          <w:bCs/>
          <w:sz w:val="30"/>
          <w:szCs w:val="30"/>
        </w:rPr>
        <w:t>；上市首日后价格涨跌幅限制为20%。投资者应当知悉涨跌幅限制和临时停牌制度的相关规定，关注可能产生的相关风险。</w:t>
      </w:r>
    </w:p>
    <w:p w:rsidR="00F96FB1" w:rsidRDefault="00D33884">
      <w:pPr>
        <w:pStyle w:val="af"/>
        <w:widowControl/>
        <w:spacing w:line="600" w:lineRule="exact"/>
        <w:ind w:firstLine="600"/>
        <w:rPr>
          <w:rFonts w:ascii="仿宋_GB2312" w:eastAsia="仿宋_GB2312" w:hAnsi="仿宋"/>
          <w:bCs/>
          <w:sz w:val="30"/>
          <w:szCs w:val="30"/>
        </w:rPr>
      </w:pPr>
      <w:r>
        <w:rPr>
          <w:rFonts w:ascii="仿宋_GB2312" w:eastAsia="仿宋_GB2312" w:hAnsi="仿宋" w:hint="eastAsia"/>
          <w:bCs/>
          <w:sz w:val="30"/>
          <w:szCs w:val="30"/>
        </w:rPr>
        <w:t>七、可转债标的股票停复牌的，可转债同步停复牌并暂停或者恢复转股，但因特殊原因可转债需单独停复牌、暂停或者恢复转股的除外。投资者应当及时关注可转债及标的股票的停复牌公告。</w:t>
      </w:r>
    </w:p>
    <w:p w:rsidR="00F96FB1" w:rsidRDefault="00D33884">
      <w:pPr>
        <w:pStyle w:val="af"/>
        <w:widowControl/>
        <w:spacing w:line="560" w:lineRule="exact"/>
        <w:ind w:firstLine="600"/>
        <w:rPr>
          <w:rFonts w:ascii="仿宋_GB2312" w:eastAsia="仿宋_GB2312" w:hAnsi="仿宋"/>
          <w:bCs/>
          <w:sz w:val="30"/>
          <w:szCs w:val="30"/>
        </w:rPr>
      </w:pPr>
      <w:r>
        <w:rPr>
          <w:rFonts w:ascii="仿宋_GB2312" w:eastAsia="仿宋_GB2312" w:hAnsi="仿宋" w:hint="eastAsia"/>
          <w:bCs/>
          <w:sz w:val="30"/>
          <w:szCs w:val="30"/>
        </w:rPr>
        <w:lastRenderedPageBreak/>
        <w:t>八</w:t>
      </w:r>
      <w:r>
        <w:rPr>
          <w:rFonts w:ascii="仿宋_GB2312" w:eastAsia="仿宋_GB2312" w:hAnsi="仿宋_GB2312" w:cs="仿宋_GB2312" w:hint="eastAsia"/>
          <w:sz w:val="30"/>
          <w:szCs w:val="30"/>
        </w:rPr>
        <w:t>、投资者应当关注可转债交易可能触发的异常波动和严重异常波动情形，知悉异常波动和严重异常波动情形可能导致停牌核查，审慎参与。</w:t>
      </w:r>
    </w:p>
    <w:p w:rsidR="00F96FB1" w:rsidRDefault="00D33884">
      <w:pPr>
        <w:widowControl/>
        <w:adjustRightInd w:val="0"/>
        <w:snapToGrid w:val="0"/>
        <w:spacing w:line="560" w:lineRule="exact"/>
        <w:rPr>
          <w:rFonts w:hAnsi="仿宋"/>
          <w:bCs/>
        </w:rPr>
      </w:pPr>
      <w:r>
        <w:rPr>
          <w:rFonts w:hAnsi="仿宋" w:hint="eastAsia"/>
          <w:bCs/>
        </w:rPr>
        <w:t>九、可转债流通面值总额少于3000万元且上市公司发布相关公告3个交易日后（赎回条件触发日次一交易日至赎回资金发放日</w:t>
      </w:r>
      <w:r>
        <w:rPr>
          <w:rFonts w:hAnsi="仿宋"/>
          <w:bCs/>
        </w:rPr>
        <w:t>3个交易日前发生该情形的除外</w:t>
      </w:r>
      <w:r>
        <w:rPr>
          <w:rFonts w:hAnsi="仿宋" w:hint="eastAsia"/>
          <w:bCs/>
        </w:rPr>
        <w:t>），自转股期结束前的第3个交易日起，自赎回资金发放日前的第3个交易日起等情形的，可转债停止交易。投资者应当知悉相关规则，关注可转债可能无法交易的风险。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十一、投资者不能在可转债存续期内随时申请转股。可转债自发行结束之日起</w:t>
      </w:r>
      <w:r>
        <w:rPr>
          <w:rFonts w:ascii="仿宋_GB2312" w:eastAsia="仿宋_GB2312" w:hAnsi="仿宋"/>
          <w:bCs/>
          <w:sz w:val="30"/>
          <w:szCs w:val="30"/>
        </w:rPr>
        <w:t>6个月后，在符合约定条件时，投资者方可申请转换为公司股票。转股期由发行人根据可转债的存续期限以及发行人的财务状况确定。投资者应当关注转股价格、转股期限等相关安排。</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十六、如转股期间较短时间内发生大规模转股，可能导致公司当期每股收益和净资产收益率被摊薄。如发生转股价格向下修正，可能导致公司股本摊薄程度扩大。投资者应当关注相关风险。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十八、可转债在存续期内满足募集说明书约定的回售条件时，债券持有人可回售部分或者全部未转股的可转债。投资者应当关注可转债的回售期限以及回售价格。</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二十、因可转债附有转股权利，可转债的利率可能低于评级及期限相同的不可转换公司债券利率。</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二十一、投资者应当特别关注发行人发布的可转债相关公告，及时从上交所网站、上市公司网站或者其他符合中国证监会规定条件的信息披露媒体、证券公司网站等渠道获取相关信息。</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二十二、可转债相关法律法规、上交所和登记结算机构业务规则，可能根据市场情况进行制定、废止和修改，投资者应当及时予以关注和了解。</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二十三、在可转债的存续期间，如果出现火灾、地震、瘟疫、社会动乱等不能预见、避免或者克服的不可抗力情形，可能会造成投资者经济损失。</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二十四、可能由于证券公司、上交所或者登记结算机构等的系统故障或者差错而影响交易的正常进行或者导致投资者的利益受到影响。</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lastRenderedPageBreak/>
        <w:t>二十五、可能由于投资者或者证券公司未按照规定进行各项申报、申报要素填报错误、证券公司或者结算代理人未履行职责等原因，导致操作失败的风险。</w:t>
      </w:r>
    </w:p>
    <w:p w:rsidR="00F96FB1" w:rsidRDefault="00D33884">
      <w:pPr>
        <w:pStyle w:val="af"/>
        <w:widowControl/>
        <w:spacing w:line="360" w:lineRule="auto"/>
        <w:ind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投资者为机构的，应当由法定代表人或者其授权代理人签署。投资者为资产管理、理财等产品的，由产品管理人的法定代表人或者其授权代理人签署。</w:t>
      </w:r>
    </w:p>
    <w:p w:rsidR="00F96FB1" w:rsidRDefault="00F96FB1">
      <w:pPr>
        <w:widowControl/>
        <w:spacing w:line="360" w:lineRule="auto"/>
        <w:ind w:firstLineChars="0" w:firstLine="0"/>
        <w:rPr>
          <w:rFonts w:hAnsi="仿宋"/>
          <w:b/>
        </w:rPr>
      </w:pPr>
    </w:p>
    <w:p w:rsidR="00F96FB1" w:rsidRDefault="00D33884">
      <w:pPr>
        <w:pStyle w:val="af"/>
        <w:widowControl/>
        <w:spacing w:line="360" w:lineRule="auto"/>
        <w:ind w:firstLineChars="0" w:firstLine="602"/>
        <w:rPr>
          <w:rFonts w:ascii="仿宋_GB2312" w:eastAsia="仿宋_GB2312" w:hAnsi="仿宋" w:cs="Times New Roman"/>
          <w:b/>
          <w:sz w:val="30"/>
          <w:szCs w:val="30"/>
        </w:rPr>
      </w:pPr>
      <w:r>
        <w:rPr>
          <w:rFonts w:ascii="仿宋_GB2312" w:eastAsia="仿宋_GB2312" w:hAnsi="仿宋" w:cs="Times New Roman" w:hint="eastAsia"/>
          <w:b/>
          <w:sz w:val="30"/>
          <w:szCs w:val="30"/>
        </w:rPr>
        <w:t>附录：</w:t>
      </w:r>
    </w:p>
    <w:p w:rsidR="00F96FB1" w:rsidRDefault="00D33884">
      <w:pPr>
        <w:pStyle w:val="af"/>
        <w:widowControl/>
        <w:spacing w:line="360" w:lineRule="auto"/>
        <w:ind w:firstLineChars="0" w:firstLine="602"/>
        <w:jc w:val="center"/>
        <w:rPr>
          <w:rFonts w:ascii="仿宋_GB2312" w:eastAsia="仿宋_GB2312" w:hAnsi="仿宋" w:cs="Times New Roman"/>
          <w:b/>
          <w:sz w:val="30"/>
          <w:szCs w:val="30"/>
        </w:rPr>
      </w:pPr>
      <w:r>
        <w:rPr>
          <w:rFonts w:ascii="仿宋_GB2312" w:eastAsia="仿宋_GB2312" w:hAnsi="仿宋" w:cs="Times New Roman" w:hint="eastAsia"/>
          <w:b/>
          <w:sz w:val="30"/>
          <w:szCs w:val="30"/>
        </w:rPr>
        <w:t>《上海证券交易所向不特定对象发行的可转换公司债券投资者风险揭示书必备条款》历次修订：</w:t>
      </w:r>
    </w:p>
    <w:p w:rsidR="00F96FB1" w:rsidRDefault="00D33884">
      <w:pPr>
        <w:pStyle w:val="af"/>
        <w:widowControl/>
        <w:numPr>
          <w:ilvl w:val="255"/>
          <w:numId w:val="0"/>
        </w:numPr>
        <w:spacing w:line="360" w:lineRule="auto"/>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1.</w:t>
      </w:r>
      <w:r>
        <w:rPr>
          <w:rFonts w:ascii="仿宋_GB2312" w:eastAsia="仿宋_GB2312" w:hAnsi="仿宋" w:cs="Times New Roman"/>
          <w:bCs/>
          <w:sz w:val="30"/>
          <w:szCs w:val="30"/>
        </w:rPr>
        <w:t>2022</w:t>
      </w:r>
      <w:r>
        <w:rPr>
          <w:rFonts w:ascii="仿宋_GB2312" w:eastAsia="仿宋_GB2312" w:hAnsi="仿宋" w:cs="Times New Roman" w:hint="eastAsia"/>
          <w:bCs/>
          <w:sz w:val="30"/>
          <w:szCs w:val="30"/>
        </w:rPr>
        <w:t>年</w:t>
      </w:r>
      <w:r>
        <w:rPr>
          <w:rFonts w:ascii="仿宋_GB2312" w:eastAsia="仿宋_GB2312" w:hAnsi="仿宋" w:cs="Times New Roman"/>
          <w:bCs/>
          <w:sz w:val="30"/>
          <w:szCs w:val="30"/>
        </w:rPr>
        <w:t>1</w:t>
      </w:r>
      <w:r>
        <w:rPr>
          <w:rFonts w:ascii="仿宋_GB2312" w:eastAsia="仿宋_GB2312" w:hAnsi="仿宋" w:cs="Times New Roman" w:hint="eastAsia"/>
          <w:bCs/>
          <w:sz w:val="30"/>
          <w:szCs w:val="30"/>
        </w:rPr>
        <w:t>月28日</w:t>
      </w:r>
    </w:p>
    <w:p w:rsidR="00F96FB1" w:rsidRDefault="00D33884">
      <w:pPr>
        <w:pStyle w:val="af"/>
        <w:widowControl/>
        <w:spacing w:line="360" w:lineRule="auto"/>
        <w:ind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删除</w:t>
      </w:r>
      <w:r>
        <w:rPr>
          <w:rFonts w:ascii="仿宋_GB2312" w:eastAsia="仿宋_GB2312" w:hAnsi="仿宋" w:cs="Times New Roman" w:hint="eastAsia"/>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rsidR="00F96FB1" w:rsidRDefault="00D33884">
      <w:pPr>
        <w:pStyle w:val="af"/>
        <w:widowControl/>
        <w:numPr>
          <w:ilvl w:val="255"/>
          <w:numId w:val="0"/>
        </w:numPr>
        <w:spacing w:line="360" w:lineRule="auto"/>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2.</w:t>
      </w:r>
      <w:r>
        <w:rPr>
          <w:rFonts w:ascii="仿宋_GB2312" w:eastAsia="仿宋_GB2312" w:hAnsi="仿宋" w:cs="Times New Roman"/>
          <w:bCs/>
          <w:sz w:val="30"/>
          <w:szCs w:val="30"/>
        </w:rPr>
        <w:t>2022</w:t>
      </w:r>
      <w:r>
        <w:rPr>
          <w:rFonts w:ascii="仿宋_GB2312" w:eastAsia="仿宋_GB2312" w:hAnsi="仿宋" w:cs="Times New Roman" w:hint="eastAsia"/>
          <w:bCs/>
          <w:sz w:val="30"/>
          <w:szCs w:val="30"/>
        </w:rPr>
        <w:t>年7月29日</w:t>
      </w:r>
    </w:p>
    <w:p w:rsidR="00F96FB1" w:rsidRDefault="00D33884">
      <w:pPr>
        <w:rPr>
          <w:rFonts w:hAnsi="仿宋"/>
          <w:bCs/>
        </w:rPr>
      </w:pPr>
      <w:r>
        <w:rPr>
          <w:rFonts w:hAnsi="仿宋" w:hint="eastAsia"/>
          <w:bCs/>
        </w:rPr>
        <w:t>2.1</w:t>
      </w:r>
      <w:r>
        <w:rPr>
          <w:rFonts w:hAnsi="仿宋" w:hint="eastAsia"/>
          <w:b/>
        </w:rPr>
        <w:t>修改</w:t>
      </w:r>
      <w:r>
        <w:rPr>
          <w:rFonts w:hAnsi="仿宋" w:hint="eastAsia"/>
          <w:bCs/>
        </w:rPr>
        <w:t>第四条：</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四、最近一期末经审计的净资产不低于人民币</w:t>
      </w:r>
      <w:r>
        <w:rPr>
          <w:rFonts w:ascii="仿宋_GB2312" w:eastAsia="仿宋_GB2312" w:hAnsi="仿宋"/>
          <w:bCs/>
          <w:sz w:val="30"/>
          <w:szCs w:val="30"/>
        </w:rPr>
        <w:t>15亿元的上市公司发行的可转债</w:t>
      </w:r>
      <w:r>
        <w:rPr>
          <w:rFonts w:ascii="仿宋_GB2312" w:eastAsia="仿宋_GB2312" w:hAnsi="仿宋" w:hint="eastAsia"/>
          <w:bCs/>
          <w:sz w:val="30"/>
          <w:szCs w:val="30"/>
        </w:rPr>
        <w:t>、</w:t>
      </w:r>
      <w:r>
        <w:rPr>
          <w:rFonts w:ascii="仿宋_GB2312" w:eastAsia="仿宋_GB2312" w:hAnsi="仿宋"/>
          <w:bCs/>
          <w:strike/>
          <w:sz w:val="30"/>
          <w:szCs w:val="30"/>
        </w:rPr>
        <w:t>以及</w:t>
      </w:r>
      <w:r>
        <w:rPr>
          <w:rFonts w:ascii="仿宋_GB2312" w:eastAsia="仿宋_GB2312" w:hAnsi="仿宋" w:hint="eastAsia"/>
          <w:strike/>
          <w:sz w:val="30"/>
          <w:szCs w:val="30"/>
        </w:rPr>
        <w:t>相关法律、行政法规、部门规章、规范性文件（以下合称法律法规）或者</w:t>
      </w:r>
      <w:r>
        <w:rPr>
          <w:rFonts w:ascii="仿宋_GB2312" w:eastAsia="仿宋_GB2312" w:hAnsi="仿宋" w:hint="eastAsia"/>
          <w:bCs/>
          <w:strike/>
          <w:sz w:val="30"/>
          <w:szCs w:val="30"/>
        </w:rPr>
        <w:t>上交所业务规则不要求设定担保的其他</w:t>
      </w:r>
      <w:r>
        <w:rPr>
          <w:rFonts w:ascii="仿宋_GB2312" w:eastAsia="仿宋_GB2312" w:hAnsi="仿宋" w:hint="eastAsia"/>
          <w:b/>
          <w:sz w:val="30"/>
          <w:szCs w:val="30"/>
          <w:u w:val="single"/>
        </w:rPr>
        <w:t>科创板上市公司发行的</w:t>
      </w:r>
      <w:r>
        <w:rPr>
          <w:rFonts w:ascii="仿宋_GB2312" w:eastAsia="仿宋_GB2312" w:hAnsi="仿宋" w:hint="eastAsia"/>
          <w:bCs/>
          <w:sz w:val="30"/>
          <w:szCs w:val="30"/>
        </w:rPr>
        <w:t>可转债，可能因未设定担保增加本息不能偿付的风险。</w:t>
      </w:r>
    </w:p>
    <w:p w:rsidR="00F96FB1" w:rsidRDefault="00D33884">
      <w:pPr>
        <w:rPr>
          <w:rFonts w:hAnsi="仿宋"/>
          <w:bCs/>
        </w:rPr>
      </w:pPr>
      <w:r>
        <w:rPr>
          <w:rFonts w:hAnsi="仿宋" w:hint="eastAsia"/>
          <w:bCs/>
        </w:rPr>
        <w:lastRenderedPageBreak/>
        <w:t>2.2</w:t>
      </w:r>
      <w:r>
        <w:rPr>
          <w:rFonts w:hAnsi="仿宋" w:hint="eastAsia"/>
          <w:b/>
        </w:rPr>
        <w:t>修改</w:t>
      </w:r>
      <w:r>
        <w:rPr>
          <w:rFonts w:hAnsi="仿宋" w:hint="eastAsia"/>
          <w:bCs/>
        </w:rPr>
        <w:t>第六条：</w:t>
      </w:r>
    </w:p>
    <w:p w:rsidR="00F96FB1" w:rsidRDefault="00D33884">
      <w:pPr>
        <w:pStyle w:val="a0"/>
        <w:numPr>
          <w:ilvl w:val="0"/>
          <w:numId w:val="4"/>
        </w:numPr>
        <w:ind w:firstLine="600"/>
        <w:rPr>
          <w:b/>
          <w:bCs/>
          <w:u w:val="single"/>
        </w:rPr>
      </w:pPr>
      <w:r>
        <w:t>可转债实行当日回转交易</w:t>
      </w:r>
      <w:r>
        <w:rPr>
          <w:strike/>
        </w:rPr>
        <w:t>，且无涨跌幅限制，交易价格波动幅度可能较大</w:t>
      </w:r>
      <w:r>
        <w:t>。</w:t>
      </w:r>
      <w:r>
        <w:rPr>
          <w:b/>
          <w:bCs/>
          <w:u w:val="single"/>
        </w:rPr>
        <w:t>采用匹配成交方式的，上市首日的涨幅比例为57.3%、跌幅比例为43.3%，</w:t>
      </w:r>
      <w:r>
        <w:rPr>
          <w:rFonts w:hint="eastAsia"/>
          <w:b/>
          <w:bCs/>
          <w:u w:val="single"/>
        </w:rPr>
        <w:t>盘中价格较发行价首次上涨或者下跌</w:t>
      </w:r>
      <w:r>
        <w:rPr>
          <w:b/>
          <w:bCs/>
          <w:u w:val="single"/>
        </w:rPr>
        <w:t>20%的，实施盘中临时停牌30分钟；盘中价格较发行价首次上涨或者下跌30%的，实施盘中临时停牌</w:t>
      </w:r>
      <w:r>
        <w:rPr>
          <w:rFonts w:hint="eastAsia"/>
          <w:b/>
          <w:bCs/>
          <w:u w:val="single"/>
        </w:rPr>
        <w:t>至当日14:57</w:t>
      </w:r>
      <w:r>
        <w:rPr>
          <w:b/>
          <w:bCs/>
          <w:u w:val="single"/>
        </w:rPr>
        <w:t>；上市首日后价格涨跌幅限制为20%。投资者应当知悉涨跌幅限制和临时停牌制度的相关规定，关注可能产生的</w:t>
      </w:r>
      <w:r>
        <w:rPr>
          <w:rFonts w:hint="eastAsia"/>
          <w:b/>
          <w:bCs/>
          <w:u w:val="single"/>
        </w:rPr>
        <w:t>相关</w:t>
      </w:r>
      <w:r>
        <w:rPr>
          <w:b/>
          <w:bCs/>
          <w:u w:val="single"/>
        </w:rPr>
        <w:t>风险。</w:t>
      </w:r>
    </w:p>
    <w:p w:rsidR="00F96FB1" w:rsidRDefault="00D33884">
      <w:pPr>
        <w:rPr>
          <w:rFonts w:hAnsi="仿宋"/>
          <w:bCs/>
        </w:rPr>
      </w:pPr>
      <w:r>
        <w:rPr>
          <w:rFonts w:hAnsi="仿宋" w:hint="eastAsia"/>
          <w:bCs/>
        </w:rPr>
        <w:t>2.3</w:t>
      </w:r>
      <w:r>
        <w:rPr>
          <w:rFonts w:hAnsi="仿宋" w:hint="eastAsia"/>
          <w:b/>
        </w:rPr>
        <w:t>修改</w:t>
      </w:r>
      <w:r>
        <w:rPr>
          <w:rFonts w:hAnsi="仿宋" w:hint="eastAsia"/>
          <w:bCs/>
        </w:rPr>
        <w:t>第七条：</w:t>
      </w:r>
    </w:p>
    <w:p w:rsidR="00F96FB1" w:rsidRDefault="00D33884">
      <w:pPr>
        <w:pStyle w:val="a0"/>
        <w:numPr>
          <w:ilvl w:val="0"/>
          <w:numId w:val="4"/>
        </w:numPr>
        <w:ind w:firstLine="600"/>
        <w:rPr>
          <w:b/>
          <w:bCs/>
          <w:u w:val="single"/>
        </w:rPr>
      </w:pPr>
      <w:r>
        <w:t>可转债标的股票停复牌的，</w:t>
      </w:r>
      <w:r>
        <w:rPr>
          <w:strike/>
        </w:rPr>
        <w:t>上交所可以对可转债实施同步停复牌。</w:t>
      </w:r>
      <w:r>
        <w:rPr>
          <w:b/>
          <w:bCs/>
          <w:u w:val="single"/>
        </w:rPr>
        <w:t>可转债同步停复牌并暂停或者恢复转股，但因特殊原因可转债需单独停复牌、暂停或者恢复转股的除外。投资者应当及时关注可转债及标的股票的停复牌公告。</w:t>
      </w:r>
    </w:p>
    <w:p w:rsidR="00F96FB1" w:rsidRDefault="00D33884">
      <w:pPr>
        <w:pStyle w:val="a0"/>
        <w:ind w:leftChars="200" w:left="600" w:firstLineChars="0" w:firstLine="0"/>
        <w:rPr>
          <w:b/>
          <w:bCs/>
          <w:u w:val="single"/>
        </w:rPr>
      </w:pPr>
      <w:r>
        <w:rPr>
          <w:rFonts w:hAnsi="仿宋" w:hint="eastAsia"/>
          <w:bCs/>
        </w:rPr>
        <w:t>2.4</w:t>
      </w:r>
      <w:r>
        <w:rPr>
          <w:rFonts w:hAnsi="仿宋" w:hint="eastAsia"/>
          <w:b/>
        </w:rPr>
        <w:t>删除原</w:t>
      </w:r>
      <w:r>
        <w:rPr>
          <w:rFonts w:hAnsi="仿宋" w:hint="eastAsia"/>
          <w:bCs/>
        </w:rPr>
        <w:t>第八条</w:t>
      </w:r>
      <w:r>
        <w:rPr>
          <w:rFonts w:hint="eastAsia"/>
        </w:rPr>
        <w:t>，其后条款相应顺延。</w:t>
      </w:r>
    </w:p>
    <w:p w:rsidR="00F96FB1" w:rsidRDefault="00D33884">
      <w:pPr>
        <w:pStyle w:val="a0"/>
        <w:ind w:leftChars="200" w:left="600" w:firstLineChars="0" w:firstLine="0"/>
        <w:rPr>
          <w:b/>
          <w:bCs/>
          <w:u w:val="single"/>
        </w:rPr>
      </w:pPr>
      <w:r>
        <w:rPr>
          <w:rFonts w:hAnsi="仿宋" w:hint="eastAsia"/>
          <w:bCs/>
        </w:rPr>
        <w:t>2.5</w:t>
      </w:r>
      <w:r>
        <w:rPr>
          <w:rFonts w:hAnsi="仿宋" w:hint="eastAsia"/>
          <w:b/>
        </w:rPr>
        <w:t>新增</w:t>
      </w:r>
      <w:r>
        <w:rPr>
          <w:rFonts w:hAnsi="仿宋" w:hint="eastAsia"/>
          <w:bCs/>
        </w:rPr>
        <w:t>第八条</w:t>
      </w:r>
      <w:r>
        <w:rPr>
          <w:rFonts w:hint="eastAsia"/>
        </w:rPr>
        <w:t>，其后条款相应顺延：</w:t>
      </w:r>
    </w:p>
    <w:p w:rsidR="00F96FB1" w:rsidRDefault="00D33884">
      <w:pPr>
        <w:pStyle w:val="a0"/>
        <w:ind w:firstLine="602"/>
        <w:rPr>
          <w:b/>
        </w:rPr>
      </w:pPr>
      <w:r>
        <w:rPr>
          <w:rFonts w:hint="eastAsia"/>
          <w:b/>
        </w:rPr>
        <w:t>八、投资者应当关注可转债交易可能触发的异常波动和严重异常波动情形，知悉异常波动和严重异常波动情形可能导致停牌核查，审慎参与。</w:t>
      </w:r>
    </w:p>
    <w:p w:rsidR="00F96FB1" w:rsidRDefault="00D33884">
      <w:pPr>
        <w:pStyle w:val="a0"/>
        <w:ind w:leftChars="200" w:left="600" w:firstLineChars="0" w:firstLine="0"/>
        <w:rPr>
          <w:b/>
          <w:bCs/>
          <w:u w:val="single"/>
        </w:rPr>
      </w:pPr>
      <w:r>
        <w:rPr>
          <w:rFonts w:hAnsi="仿宋" w:hint="eastAsia"/>
          <w:bCs/>
        </w:rPr>
        <w:t>2.6</w:t>
      </w:r>
      <w:r>
        <w:rPr>
          <w:rFonts w:hAnsi="仿宋" w:hint="eastAsia"/>
          <w:b/>
        </w:rPr>
        <w:t>新增</w:t>
      </w:r>
      <w:r>
        <w:rPr>
          <w:rFonts w:hAnsi="仿宋" w:hint="eastAsia"/>
          <w:bCs/>
        </w:rPr>
        <w:t>第九条</w:t>
      </w:r>
      <w:r>
        <w:rPr>
          <w:rFonts w:hint="eastAsia"/>
        </w:rPr>
        <w:t>，其后条款相应顺延：</w:t>
      </w:r>
    </w:p>
    <w:p w:rsidR="00F96FB1" w:rsidRDefault="00D33884">
      <w:pPr>
        <w:pStyle w:val="a0"/>
        <w:ind w:firstLine="602"/>
        <w:rPr>
          <w:b/>
        </w:rPr>
      </w:pPr>
      <w:r>
        <w:rPr>
          <w:rFonts w:hint="eastAsia"/>
          <w:b/>
        </w:rPr>
        <w:t>九、可转债流通面值总额少于3000万元且上市公司发布相关公告3个交易日后</w:t>
      </w:r>
      <w:r>
        <w:rPr>
          <w:rFonts w:hAnsi="仿宋" w:hint="eastAsia"/>
          <w:b/>
          <w:bCs/>
        </w:rPr>
        <w:t>（赎回条件触发日次一交易日至赎回资金发放日</w:t>
      </w:r>
      <w:r>
        <w:rPr>
          <w:rFonts w:hAnsi="仿宋"/>
          <w:b/>
          <w:bCs/>
        </w:rPr>
        <w:t>3个交易日前发生该情形的除外</w:t>
      </w:r>
      <w:r>
        <w:rPr>
          <w:rFonts w:hAnsi="仿宋" w:hint="eastAsia"/>
          <w:b/>
          <w:bCs/>
        </w:rPr>
        <w:t>）</w:t>
      </w:r>
      <w:r>
        <w:rPr>
          <w:rFonts w:hint="eastAsia"/>
          <w:b/>
        </w:rPr>
        <w:t>，自转股期结束前的第3</w:t>
      </w:r>
      <w:r>
        <w:rPr>
          <w:rFonts w:hint="eastAsia"/>
          <w:b/>
        </w:rPr>
        <w:lastRenderedPageBreak/>
        <w:t>个交易日起，自赎回资金发放日前的第3个交易日起等情形的，可转债停止交易。投资者应当知悉相关规则，关注可转债可能无法交易的风险。</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2.7</w:t>
      </w:r>
      <w:r>
        <w:rPr>
          <w:rFonts w:ascii="仿宋_GB2312" w:eastAsia="仿宋_GB2312" w:hAnsi="仿宋" w:hint="eastAsia"/>
          <w:b/>
          <w:sz w:val="30"/>
          <w:szCs w:val="30"/>
        </w:rPr>
        <w:t>修改</w:t>
      </w:r>
      <w:r>
        <w:rPr>
          <w:rFonts w:ascii="仿宋_GB2312" w:eastAsia="仿宋_GB2312" w:hAnsi="仿宋" w:hint="eastAsia"/>
          <w:bCs/>
          <w:sz w:val="30"/>
          <w:szCs w:val="30"/>
        </w:rPr>
        <w:t>第十一条（原第十条）</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十一、投资者不能在可转债存续期内随时申请转股。可转债自发行结束之日起</w:t>
      </w:r>
      <w:r>
        <w:rPr>
          <w:rFonts w:ascii="仿宋_GB2312" w:eastAsia="仿宋_GB2312" w:hAnsi="仿宋"/>
          <w:bCs/>
          <w:sz w:val="30"/>
          <w:szCs w:val="30"/>
        </w:rPr>
        <w:t>6个月后，在符合约定条件时，投资者方可</w:t>
      </w:r>
      <w:r>
        <w:rPr>
          <w:rFonts w:ascii="仿宋_GB2312" w:eastAsia="仿宋_GB2312" w:hAnsi="Times New Roman" w:cs="Times New Roman" w:hint="eastAsia"/>
          <w:strike/>
          <w:kern w:val="0"/>
          <w:sz w:val="30"/>
          <w:szCs w:val="30"/>
        </w:rPr>
        <w:t>通过报盘方式</w:t>
      </w:r>
      <w:r>
        <w:rPr>
          <w:rFonts w:ascii="仿宋_GB2312" w:eastAsia="仿宋_GB2312" w:hAnsi="仿宋"/>
          <w:bCs/>
          <w:sz w:val="30"/>
          <w:szCs w:val="30"/>
        </w:rPr>
        <w:t>申请转换为公司股票。转股期由发行人根据可转债的存续期限以及发行人的财务状况确定。投资者应当关注转股价格、转股期限等相关安排。</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2.8</w:t>
      </w:r>
      <w:r>
        <w:rPr>
          <w:rFonts w:ascii="仿宋_GB2312" w:eastAsia="仿宋_GB2312" w:hAnsi="仿宋" w:hint="eastAsia"/>
          <w:b/>
          <w:sz w:val="30"/>
          <w:szCs w:val="30"/>
        </w:rPr>
        <w:t>修改</w:t>
      </w:r>
      <w:r>
        <w:rPr>
          <w:rFonts w:ascii="仿宋_GB2312" w:eastAsia="仿宋_GB2312" w:hAnsi="仿宋" w:hint="eastAsia"/>
          <w:bCs/>
          <w:sz w:val="30"/>
          <w:szCs w:val="30"/>
        </w:rPr>
        <w:t>第十三条（原第十二条）</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十三、可转债的转股价格在可转债存续期可能发生调整。发行可转债后，因</w:t>
      </w:r>
      <w:r>
        <w:rPr>
          <w:rFonts w:ascii="仿宋_GB2312" w:eastAsia="仿宋_GB2312" w:hAnsi="仿宋" w:hint="eastAsia"/>
          <w:b/>
          <w:bCs/>
          <w:sz w:val="30"/>
          <w:szCs w:val="30"/>
          <w:u w:val="single"/>
        </w:rPr>
        <w:t>派息</w:t>
      </w:r>
      <w:r>
        <w:rPr>
          <w:rFonts w:ascii="仿宋_GB2312" w:eastAsia="仿宋_GB2312" w:hAnsi="仿宋" w:hint="eastAsia"/>
          <w:b/>
          <w:bCs/>
          <w:sz w:val="30"/>
          <w:szCs w:val="30"/>
        </w:rPr>
        <w:t>，</w:t>
      </w:r>
      <w:r>
        <w:rPr>
          <w:rFonts w:ascii="仿宋_GB2312" w:eastAsia="仿宋_GB2312" w:hAnsi="仿宋" w:hint="eastAsia"/>
          <w:bCs/>
          <w:sz w:val="30"/>
          <w:szCs w:val="30"/>
        </w:rPr>
        <w:t>配股、增发、送股、</w:t>
      </w:r>
      <w:r>
        <w:rPr>
          <w:rFonts w:ascii="仿宋_GB2312" w:eastAsia="仿宋_GB2312" w:hAnsi="仿宋" w:hint="eastAsia"/>
          <w:bCs/>
          <w:strike/>
          <w:sz w:val="30"/>
          <w:szCs w:val="30"/>
        </w:rPr>
        <w:t>派息、</w:t>
      </w:r>
      <w:r>
        <w:rPr>
          <w:rFonts w:ascii="仿宋_GB2312" w:eastAsia="仿宋_GB2312" w:hAnsi="仿宋" w:hint="eastAsia"/>
          <w:bCs/>
          <w:sz w:val="30"/>
          <w:szCs w:val="30"/>
        </w:rPr>
        <w:t>分立、</w:t>
      </w:r>
      <w:r>
        <w:rPr>
          <w:rFonts w:ascii="仿宋_GB2312" w:eastAsia="仿宋_GB2312" w:hAnsi="仿宋" w:hint="eastAsia"/>
          <w:b/>
          <w:sz w:val="30"/>
          <w:szCs w:val="30"/>
          <w:u w:val="single"/>
        </w:rPr>
        <w:t>减资</w:t>
      </w:r>
      <w:r>
        <w:rPr>
          <w:rFonts w:ascii="仿宋_GB2312" w:eastAsia="仿宋_GB2312" w:hAnsi="仿宋" w:hint="eastAsia"/>
          <w:bCs/>
          <w:sz w:val="30"/>
          <w:szCs w:val="30"/>
        </w:rPr>
        <w:t>以及其他原因引起上市公司股份变动的，上市公司将同时调整转股价格。投资者应当关注募集说明书中约定的转股价格调整原则以及方式。</w:t>
      </w:r>
    </w:p>
    <w:p w:rsidR="00F96FB1" w:rsidRDefault="00D33884">
      <w:pPr>
        <w:pStyle w:val="af"/>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2.9</w:t>
      </w:r>
      <w:r>
        <w:rPr>
          <w:rFonts w:ascii="仿宋_GB2312" w:eastAsia="仿宋_GB2312" w:hAnsi="仿宋" w:hint="eastAsia"/>
          <w:b/>
          <w:sz w:val="30"/>
          <w:szCs w:val="30"/>
        </w:rPr>
        <w:t>修改</w:t>
      </w:r>
      <w:r>
        <w:rPr>
          <w:rFonts w:ascii="仿宋_GB2312" w:eastAsia="仿宋_GB2312" w:hAnsi="仿宋" w:hint="eastAsia"/>
          <w:bCs/>
          <w:sz w:val="30"/>
          <w:szCs w:val="30"/>
        </w:rPr>
        <w:t>第十七条（原第十六条）</w:t>
      </w:r>
    </w:p>
    <w:p w:rsidR="00F96FB1" w:rsidRDefault="00D33884">
      <w:pPr>
        <w:pStyle w:val="af"/>
        <w:widowControl/>
        <w:spacing w:line="360" w:lineRule="auto"/>
        <w:ind w:firstLine="600"/>
        <w:rPr>
          <w:rFonts w:ascii="仿宋_GB2312" w:eastAsia="仿宋_GB2312" w:hAnsi="仿宋"/>
          <w:bCs/>
          <w:sz w:val="30"/>
          <w:szCs w:val="30"/>
        </w:rPr>
      </w:pPr>
      <w:r>
        <w:rPr>
          <w:rFonts w:ascii="仿宋_GB2312" w:eastAsia="仿宋_GB2312" w:hAnsi="仿宋" w:hint="eastAsia"/>
          <w:bCs/>
          <w:sz w:val="30"/>
          <w:szCs w:val="30"/>
        </w:rPr>
        <w:t>十七、可转债在存续期内满足募集说明书约定的赎回条件时，发行人可以行使赎回权，按照约定的价格赎回</w:t>
      </w:r>
      <w:r>
        <w:rPr>
          <w:rFonts w:ascii="仿宋_GB2312" w:eastAsia="仿宋_GB2312" w:hAnsi="仿宋" w:hint="eastAsia"/>
          <w:bCs/>
          <w:strike/>
          <w:sz w:val="30"/>
          <w:szCs w:val="30"/>
        </w:rPr>
        <w:t>全部或者部分</w:t>
      </w:r>
      <w:r>
        <w:rPr>
          <w:rFonts w:ascii="仿宋_GB2312" w:eastAsia="仿宋_GB2312" w:hAnsi="仿宋" w:hint="eastAsia"/>
          <w:bCs/>
          <w:sz w:val="30"/>
          <w:szCs w:val="30"/>
        </w:rPr>
        <w:t>未转股的可转债。可转债赎回价格可能与二级市场交易价格差异较大</w:t>
      </w:r>
      <w:r>
        <w:rPr>
          <w:rFonts w:ascii="仿宋_GB2312" w:eastAsia="仿宋_GB2312" w:hAnsi="仿宋" w:hint="eastAsia"/>
          <w:bCs/>
          <w:strike/>
          <w:sz w:val="30"/>
          <w:szCs w:val="30"/>
        </w:rPr>
        <w:t>，可转债存在质押和冻结情况的可能无法赎回</w:t>
      </w:r>
      <w:r>
        <w:rPr>
          <w:rFonts w:ascii="仿宋_GB2312" w:eastAsia="仿宋_GB2312" w:hAnsi="仿宋" w:hint="eastAsia"/>
          <w:bCs/>
          <w:sz w:val="30"/>
          <w:szCs w:val="30"/>
        </w:rPr>
        <w:t>。投资者应当关注募集说明书中约定的赎回条款以及强制赎回相关风险。</w:t>
      </w:r>
    </w:p>
    <w:p w:rsidR="00F96FB1" w:rsidRDefault="00D33884">
      <w:pPr>
        <w:pStyle w:val="af"/>
        <w:widowControl/>
        <w:spacing w:line="360" w:lineRule="auto"/>
        <w:ind w:left="420" w:firstLineChars="0"/>
        <w:rPr>
          <w:sz w:val="18"/>
          <w:szCs w:val="21"/>
        </w:rPr>
      </w:pPr>
      <w:r>
        <w:rPr>
          <w:sz w:val="18"/>
          <w:szCs w:val="21"/>
        </w:rPr>
        <w:br w:type="page"/>
      </w:r>
    </w:p>
    <w:p w:rsidR="00F96FB1" w:rsidRDefault="00D33884">
      <w:pPr>
        <w:pStyle w:val="2"/>
        <w:rPr>
          <w:sz w:val="36"/>
          <w:szCs w:val="36"/>
        </w:rPr>
      </w:pPr>
      <w:bookmarkStart w:id="43" w:name="_Toc117606509"/>
      <w:r>
        <w:rPr>
          <w:sz w:val="36"/>
          <w:szCs w:val="36"/>
        </w:rPr>
        <w:lastRenderedPageBreak/>
        <w:t>2.</w:t>
      </w:r>
      <w:r>
        <w:rPr>
          <w:rFonts w:hint="eastAsia"/>
          <w:sz w:val="36"/>
          <w:szCs w:val="36"/>
        </w:rPr>
        <w:t>3</w:t>
      </w:r>
      <w:r>
        <w:rPr>
          <w:sz w:val="36"/>
          <w:szCs w:val="36"/>
        </w:rPr>
        <w:t xml:space="preserve"> </w:t>
      </w:r>
      <w:r>
        <w:rPr>
          <w:rFonts w:hint="eastAsia"/>
          <w:sz w:val="36"/>
          <w:szCs w:val="36"/>
        </w:rPr>
        <w:t>上海证券交易所挂牌期间特定非公开发行债券转让投资者风险揭示书必备条款</w:t>
      </w:r>
      <w:bookmarkEnd w:id="43"/>
    </w:p>
    <w:p w:rsidR="00F96FB1" w:rsidRDefault="00D33884">
      <w:pPr>
        <w:spacing w:line="360" w:lineRule="auto"/>
        <w:ind w:firstLine="480"/>
        <w:jc w:val="center"/>
        <w:rPr>
          <w:sz w:val="24"/>
          <w:szCs w:val="24"/>
        </w:rPr>
      </w:pPr>
      <w:r>
        <w:rPr>
          <w:rFonts w:hint="eastAsia"/>
          <w:sz w:val="24"/>
          <w:szCs w:val="24"/>
        </w:rPr>
        <w:t>（2019年5月24日发布）</w:t>
      </w:r>
    </w:p>
    <w:p w:rsidR="00F96FB1" w:rsidRDefault="00F96FB1">
      <w:pPr>
        <w:spacing w:line="360" w:lineRule="auto"/>
        <w:ind w:firstLine="480"/>
        <w:jc w:val="center"/>
        <w:rPr>
          <w:sz w:val="24"/>
          <w:szCs w:val="24"/>
        </w:rPr>
      </w:pPr>
    </w:p>
    <w:p w:rsidR="00F96FB1" w:rsidRDefault="00D33884">
      <w:pPr>
        <w:spacing w:line="360" w:lineRule="auto"/>
        <w:ind w:firstLine="602"/>
        <w:rPr>
          <w:rFonts w:ascii="黑体" w:eastAsia="黑体" w:hAnsi="黑体"/>
          <w:b/>
        </w:rPr>
      </w:pPr>
      <w:r>
        <w:rPr>
          <w:rFonts w:ascii="黑体" w:eastAsia="黑体" w:hAnsi="黑体" w:hint="eastAsia"/>
          <w:b/>
        </w:rPr>
        <w:t>一、特别风险。除债券转让一般风险外，特定债券转让存在以下特别风险：</w:t>
      </w:r>
    </w:p>
    <w:p w:rsidR="00F96FB1" w:rsidRDefault="00D33884">
      <w:pPr>
        <w:spacing w:line="360" w:lineRule="auto"/>
      </w:pPr>
      <w:r>
        <w:rPr>
          <w:rFonts w:hint="eastAsia"/>
        </w:rPr>
        <w:t>（一）偿付风险。特定债券本息偿付已经违约或存在重大不确定性，发行人很可能无法足额支付本息，受让此类债券将承担较高偿付风险。</w:t>
      </w:r>
    </w:p>
    <w:p w:rsidR="00F96FB1" w:rsidRDefault="00D33884">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rsidR="00F96FB1" w:rsidRDefault="00D33884">
      <w:pPr>
        <w:spacing w:line="360" w:lineRule="auto"/>
      </w:pPr>
      <w:r>
        <w:rPr>
          <w:rFonts w:hint="eastAsia"/>
        </w:rPr>
        <w:t>（三）获取信息风险。特定债券发行人可能无法及时、充分披露相关信息，参与此类债券投资可能无法及时获取充分信息以做出投资决策。</w:t>
      </w:r>
    </w:p>
    <w:p w:rsidR="00F96FB1" w:rsidRDefault="00D33884">
      <w:pPr>
        <w:spacing w:line="360" w:lineRule="auto"/>
      </w:pPr>
      <w:r>
        <w:rPr>
          <w:rFonts w:hint="eastAsia"/>
        </w:rPr>
        <w:t>（四）维权成本高的风险。特定债券风险化解处置周期可能较长，维权成本较高，且最终受偿情况具有较大不确定性。</w:t>
      </w:r>
    </w:p>
    <w:p w:rsidR="00F96FB1" w:rsidRDefault="00D33884">
      <w:pPr>
        <w:spacing w:line="360" w:lineRule="auto"/>
        <w:ind w:firstLine="602"/>
        <w:rPr>
          <w:rFonts w:ascii="黑体" w:eastAsia="黑体" w:hAnsi="黑体"/>
          <w:b/>
        </w:rPr>
      </w:pPr>
      <w:r>
        <w:rPr>
          <w:rFonts w:ascii="黑体" w:eastAsia="黑体" w:hAnsi="黑体" w:hint="eastAsia"/>
          <w:b/>
        </w:rPr>
        <w:t>二、特别提示。风险揭示书应以醒目文字提示投资者以下事项：</w:t>
      </w:r>
    </w:p>
    <w:p w:rsidR="00F96FB1" w:rsidRDefault="00D33884">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w:t>
      </w:r>
      <w:r>
        <w:rPr>
          <w:rFonts w:hint="eastAsia"/>
        </w:rPr>
        <w:lastRenderedPageBreak/>
        <w:t>挂牌期间特定非公开发行债券提供转让结算服务有关事项的通知》，并做好风险评估与财务安排，确定自身有足够的风险识别和承受能力，避免因参与特定债券转让而遭受难以承受的损失。</w:t>
      </w:r>
    </w:p>
    <w:p w:rsidR="00F96FB1" w:rsidRDefault="00D33884">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rsidR="00F96FB1" w:rsidRDefault="00D33884">
      <w:pPr>
        <w:spacing w:line="360" w:lineRule="auto"/>
      </w:pPr>
      <w:r>
        <w:rPr>
          <w:rFonts w:hint="eastAsia"/>
        </w:rPr>
        <w:t>（三）受让方受让特定债券前，需通过有效途径调查了解发行人生产经营情况及债券风险状况，主动调查了解影响特定债券权利义务的相关事项。</w:t>
      </w:r>
    </w:p>
    <w:p w:rsidR="00F96FB1" w:rsidRDefault="00D33884">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rsidR="00F96FB1" w:rsidRDefault="00D33884">
      <w:pPr>
        <w:spacing w:line="360" w:lineRule="auto"/>
        <w:rPr>
          <w:b/>
        </w:rPr>
      </w:pPr>
      <w:r>
        <w:rPr>
          <w:rFonts w:hint="eastAsia"/>
        </w:rPr>
        <w:t>（五）特定债券违约后，投资者可以根据法律法规规定、募集说明书等相关约定参与违约处置，依法、理性维护自身权益，不得采取非法或不当手段维护权益。</w:t>
      </w:r>
    </w:p>
    <w:p w:rsidR="00F96FB1" w:rsidRDefault="00F96FB1">
      <w:pPr>
        <w:spacing w:line="360" w:lineRule="auto"/>
        <w:ind w:firstLine="480"/>
        <w:rPr>
          <w:sz w:val="24"/>
          <w:szCs w:val="24"/>
        </w:rPr>
      </w:pPr>
    </w:p>
    <w:p w:rsidR="00F96FB1" w:rsidRDefault="00D33884">
      <w:pPr>
        <w:widowControl/>
        <w:spacing w:line="240" w:lineRule="auto"/>
        <w:ind w:firstLineChars="0" w:firstLine="0"/>
        <w:jc w:val="left"/>
        <w:rPr>
          <w:rFonts w:ascii="宋体" w:eastAsia="宋体" w:hAnsi="宋体"/>
          <w:b/>
          <w:sz w:val="36"/>
          <w:szCs w:val="36"/>
        </w:rPr>
      </w:pPr>
      <w:r>
        <w:rPr>
          <w:sz w:val="24"/>
          <w:szCs w:val="24"/>
        </w:rPr>
        <w:br w:type="page"/>
      </w:r>
    </w:p>
    <w:p w:rsidR="00F96FB1" w:rsidRDefault="00D33884">
      <w:pPr>
        <w:pStyle w:val="2"/>
        <w:rPr>
          <w:sz w:val="36"/>
          <w:szCs w:val="36"/>
        </w:rPr>
      </w:pPr>
      <w:bookmarkStart w:id="44" w:name="_Toc117606510"/>
      <w:r>
        <w:rPr>
          <w:sz w:val="36"/>
          <w:szCs w:val="36"/>
        </w:rPr>
        <w:lastRenderedPageBreak/>
        <w:t>2.</w:t>
      </w:r>
      <w:r>
        <w:rPr>
          <w:rFonts w:hint="eastAsia"/>
          <w:sz w:val="36"/>
          <w:szCs w:val="36"/>
        </w:rPr>
        <w:t>4</w:t>
      </w:r>
      <w:r>
        <w:rPr>
          <w:sz w:val="36"/>
          <w:szCs w:val="36"/>
        </w:rPr>
        <w:t xml:space="preserve"> </w:t>
      </w:r>
      <w:r>
        <w:rPr>
          <w:rFonts w:hint="eastAsia"/>
          <w:sz w:val="36"/>
          <w:szCs w:val="36"/>
        </w:rPr>
        <w:t>上海证券交易所上市期间特定债券转让投资者风险揭示书必备条款</w:t>
      </w:r>
      <w:bookmarkEnd w:id="44"/>
    </w:p>
    <w:p w:rsidR="00F96FB1" w:rsidRDefault="00D33884">
      <w:pPr>
        <w:spacing w:line="360" w:lineRule="auto"/>
        <w:ind w:firstLine="480"/>
        <w:jc w:val="center"/>
        <w:rPr>
          <w:sz w:val="24"/>
          <w:szCs w:val="24"/>
        </w:rPr>
      </w:pPr>
      <w:r>
        <w:rPr>
          <w:rFonts w:hint="eastAsia"/>
          <w:sz w:val="24"/>
          <w:szCs w:val="24"/>
        </w:rPr>
        <w:t>（2019年5月24日发布）</w:t>
      </w:r>
    </w:p>
    <w:p w:rsidR="00F96FB1" w:rsidRDefault="00F96FB1">
      <w:pPr>
        <w:spacing w:line="360" w:lineRule="auto"/>
        <w:ind w:firstLine="482"/>
        <w:rPr>
          <w:rFonts w:hAnsi="仿宋"/>
          <w:b/>
          <w:sz w:val="24"/>
          <w:szCs w:val="24"/>
        </w:rPr>
      </w:pPr>
    </w:p>
    <w:p w:rsidR="00F96FB1" w:rsidRDefault="00D33884">
      <w:pPr>
        <w:spacing w:line="360" w:lineRule="auto"/>
        <w:ind w:firstLine="602"/>
        <w:rPr>
          <w:rFonts w:ascii="黑体" w:eastAsia="黑体" w:hAnsi="黑体"/>
          <w:b/>
        </w:rPr>
      </w:pPr>
      <w:r>
        <w:rPr>
          <w:rFonts w:ascii="黑体" w:eastAsia="黑体" w:hAnsi="黑体" w:hint="eastAsia"/>
          <w:b/>
        </w:rPr>
        <w:t>一、特别风险。除债券转让一般风险外，特定债券转让存在以下特别风险：</w:t>
      </w:r>
    </w:p>
    <w:p w:rsidR="00F96FB1" w:rsidRDefault="00D33884">
      <w:pPr>
        <w:spacing w:line="360" w:lineRule="auto"/>
      </w:pPr>
      <w:r>
        <w:rPr>
          <w:rFonts w:hint="eastAsia"/>
        </w:rPr>
        <w:t>（一）偿付风险。特定债券本息偿付已经违约或存在重大不确定性，发行人很可能无法足额支付本息，受让此类债券将承担较高偿付风险。</w:t>
      </w:r>
    </w:p>
    <w:p w:rsidR="00F96FB1" w:rsidRDefault="00D33884">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rsidR="00F96FB1" w:rsidRDefault="00D33884">
      <w:pPr>
        <w:spacing w:line="360" w:lineRule="auto"/>
      </w:pPr>
      <w:r>
        <w:rPr>
          <w:rFonts w:hint="eastAsia"/>
        </w:rPr>
        <w:t>（三）获取信息风险。特定债券发行人可能无法及时、充分披露相关信息，参与此类债券投资可能无法及时获取充分信息以做出投资决策。</w:t>
      </w:r>
    </w:p>
    <w:p w:rsidR="00F96FB1" w:rsidRDefault="00D33884">
      <w:pPr>
        <w:spacing w:line="360" w:lineRule="auto"/>
      </w:pPr>
      <w:r>
        <w:rPr>
          <w:rFonts w:hint="eastAsia"/>
        </w:rPr>
        <w:t>（四）维权成本高的风险。特定债券风险化解处置周期可能较长，维权成本较高，且最终受偿情况具有较大不确定性。</w:t>
      </w:r>
    </w:p>
    <w:p w:rsidR="00F96FB1" w:rsidRDefault="00D33884">
      <w:pPr>
        <w:spacing w:line="360" w:lineRule="auto"/>
        <w:ind w:firstLine="602"/>
        <w:rPr>
          <w:rFonts w:ascii="黑体" w:eastAsia="黑体" w:hAnsi="黑体"/>
          <w:b/>
        </w:rPr>
      </w:pPr>
      <w:r>
        <w:rPr>
          <w:rFonts w:ascii="黑体" w:eastAsia="黑体" w:hAnsi="黑体" w:hint="eastAsia"/>
          <w:b/>
        </w:rPr>
        <w:t>二、特别提示。风险揭示书应以醒目文字提示投资者以下事项：</w:t>
      </w:r>
    </w:p>
    <w:p w:rsidR="00F96FB1" w:rsidRDefault="00D33884">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w:t>
      </w:r>
      <w:r>
        <w:rPr>
          <w:rFonts w:hint="eastAsia"/>
        </w:rPr>
        <w:lastRenderedPageBreak/>
        <w:t>上市期间特定债券提供转让结算服务有关事项的通知》，并做好风险评估与财务安排，确定自身有足够的风险识别和承受能力，避免因参与特定债券转让而遭受难以承受的损失。</w:t>
      </w:r>
    </w:p>
    <w:p w:rsidR="00F96FB1" w:rsidRDefault="00D33884">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rsidR="00F96FB1" w:rsidRDefault="00D33884">
      <w:pPr>
        <w:spacing w:line="360" w:lineRule="auto"/>
      </w:pPr>
      <w:r>
        <w:rPr>
          <w:rFonts w:hint="eastAsia"/>
        </w:rPr>
        <w:t>（三）受让方受让特定债券前，需通过有效途径调查了解发行人生产经营情况及债券风险状况，主动调查了解影响特定债券权利义务的相关事项。</w:t>
      </w:r>
    </w:p>
    <w:p w:rsidR="00F96FB1" w:rsidRDefault="00D33884">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rsidR="00F96FB1" w:rsidRDefault="00D33884">
      <w:pPr>
        <w:spacing w:line="360" w:lineRule="auto"/>
      </w:pPr>
      <w:r>
        <w:rPr>
          <w:rFonts w:hint="eastAsia"/>
        </w:rPr>
        <w:t>（五）特定债券违约后，投资者可以根据法律法规规定、募集说明书等相关约定参与违约处置，依法、理性维护自身权益，不得采取非法或不当手段维护权益。</w:t>
      </w:r>
    </w:p>
    <w:p w:rsidR="00F96FB1" w:rsidRDefault="00D33884">
      <w:pPr>
        <w:spacing w:line="360" w:lineRule="auto"/>
        <w:ind w:firstLineChars="0" w:firstLine="0"/>
        <w:rPr>
          <w:rFonts w:ascii="宋体" w:eastAsia="宋体" w:hAnsi="宋体"/>
          <w:b/>
          <w:sz w:val="36"/>
          <w:szCs w:val="36"/>
        </w:rPr>
      </w:pPr>
      <w:r>
        <w:rPr>
          <w:sz w:val="24"/>
          <w:szCs w:val="24"/>
        </w:rPr>
        <w:t xml:space="preserve">    </w:t>
      </w:r>
    </w:p>
    <w:p w:rsidR="00F96FB1" w:rsidRDefault="00D33884">
      <w:pPr>
        <w:pStyle w:val="2"/>
        <w:rPr>
          <w:sz w:val="36"/>
          <w:szCs w:val="36"/>
        </w:rPr>
      </w:pPr>
      <w:r>
        <w:rPr>
          <w:b w:val="0"/>
          <w:sz w:val="36"/>
          <w:szCs w:val="36"/>
        </w:rPr>
        <w:br w:type="page"/>
      </w:r>
    </w:p>
    <w:p w:rsidR="00F96FB1" w:rsidRDefault="00D33884">
      <w:pPr>
        <w:pStyle w:val="2"/>
        <w:rPr>
          <w:sz w:val="36"/>
          <w:szCs w:val="36"/>
        </w:rPr>
      </w:pPr>
      <w:bookmarkStart w:id="45" w:name="_Toc117606511"/>
      <w:r>
        <w:rPr>
          <w:sz w:val="36"/>
          <w:szCs w:val="36"/>
        </w:rPr>
        <w:lastRenderedPageBreak/>
        <w:t>2.</w:t>
      </w:r>
      <w:r>
        <w:rPr>
          <w:rFonts w:hint="eastAsia"/>
          <w:sz w:val="36"/>
          <w:szCs w:val="36"/>
        </w:rPr>
        <w:t>5</w:t>
      </w:r>
      <w:r>
        <w:rPr>
          <w:sz w:val="36"/>
          <w:szCs w:val="36"/>
        </w:rPr>
        <w:t xml:space="preserve"> </w:t>
      </w:r>
      <w:r>
        <w:rPr>
          <w:rFonts w:hint="eastAsia"/>
          <w:sz w:val="36"/>
          <w:szCs w:val="36"/>
        </w:rPr>
        <w:t>上海证券交易所债券质押式三方回购交易投资者风险揭示书必备条款</w:t>
      </w:r>
      <w:bookmarkEnd w:id="45"/>
    </w:p>
    <w:p w:rsidR="00F96FB1" w:rsidRDefault="00D33884">
      <w:pPr>
        <w:spacing w:line="360" w:lineRule="auto"/>
        <w:ind w:firstLine="480"/>
        <w:jc w:val="center"/>
        <w:rPr>
          <w:sz w:val="24"/>
          <w:szCs w:val="24"/>
        </w:rPr>
      </w:pPr>
      <w:r>
        <w:rPr>
          <w:rFonts w:hint="eastAsia"/>
          <w:sz w:val="24"/>
          <w:szCs w:val="24"/>
        </w:rPr>
        <w:t>（2018年4月24日发布）</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rsidR="00F96FB1" w:rsidRDefault="00D33884">
      <w:pPr>
        <w:spacing w:line="360" w:lineRule="auto"/>
      </w:pPr>
      <w:r>
        <w:rPr>
          <w:rFonts w:hint="eastAsia"/>
        </w:rPr>
        <w:t>《风险揭示书》至少应当包括下列内容：</w:t>
      </w:r>
    </w:p>
    <w:p w:rsidR="00F96FB1" w:rsidRDefault="00D33884">
      <w:pPr>
        <w:spacing w:line="360" w:lineRule="auto"/>
      </w:pPr>
      <w:r>
        <w:rPr>
          <w:rFonts w:hint="eastAsia"/>
        </w:rPr>
        <w:t>一、【总则】三方回购具有市场风险、信用风险、利益冲突风险、操作风险、政策风险等风险。</w:t>
      </w:r>
    </w:p>
    <w:p w:rsidR="00F96FB1" w:rsidRDefault="00D33884">
      <w:pPr>
        <w:spacing w:line="360" w:lineRule="auto"/>
      </w:pPr>
      <w:r>
        <w:rPr>
          <w:rFonts w:hint="eastAsia"/>
        </w:rPr>
        <w:t>二、【投资者适当性】投资者应当根据自身财务状况、实际需求、风险识别和承受能力，慎重考虑是否适宜参与三方回购。</w:t>
      </w:r>
    </w:p>
    <w:p w:rsidR="00F96FB1" w:rsidRDefault="00D33884">
      <w:pPr>
        <w:spacing w:line="360" w:lineRule="auto"/>
      </w:pPr>
      <w:r>
        <w:rPr>
          <w:rFonts w:hint="eastAsia"/>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rsidR="00F96FB1" w:rsidRDefault="00D33884">
      <w:pPr>
        <w:spacing w:line="360" w:lineRule="auto"/>
      </w:pPr>
      <w:r>
        <w:rPr>
          <w:rFonts w:hint="eastAsia"/>
        </w:rPr>
        <w:t>四、【信用风险】三方回购交易中面临交易对手的信用风险，以及由此可能造成的损失，包括但不限于因交易对手违反相关法</w:t>
      </w:r>
      <w:r>
        <w:rPr>
          <w:rFonts w:hint="eastAsia"/>
        </w:rPr>
        <w:lastRenderedPageBreak/>
        <w:t>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rsidR="00F96FB1" w:rsidRDefault="00D33884">
      <w:pPr>
        <w:spacing w:line="360" w:lineRule="auto"/>
      </w:pPr>
      <w:r>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rsidR="00F96FB1" w:rsidRDefault="00D33884">
      <w:pPr>
        <w:spacing w:line="360" w:lineRule="auto"/>
      </w:pPr>
      <w:r>
        <w:rPr>
          <w:rFonts w:hint="eastAsia"/>
        </w:rPr>
        <w:t>六、【利益冲突的风险】在债券三方回购中，证券公司既可以是回购对手方，又可根据回购方委托办理交易指令申报以及其他与三方回购有关的事项，可能存在利益冲突的风险。</w:t>
      </w:r>
    </w:p>
    <w:p w:rsidR="00F96FB1" w:rsidRDefault="00D33884">
      <w:pPr>
        <w:spacing w:line="360" w:lineRule="auto"/>
      </w:pPr>
      <w:r>
        <w:rPr>
          <w:rFonts w:hint="eastAsia"/>
        </w:rPr>
        <w:t>七、【质押券价值变动】质押券在质押期间，可能存在质押的债券违约、面临还本付息重大风险、价值波动、支付利息、分期偿还、分期摊还等情形导致质押券贬值或不足的风险。</w:t>
      </w:r>
    </w:p>
    <w:p w:rsidR="00F96FB1" w:rsidRDefault="00D33884">
      <w:pPr>
        <w:spacing w:line="360" w:lineRule="auto"/>
      </w:pPr>
      <w:r>
        <w:rPr>
          <w:rFonts w:hint="eastAsia"/>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rsidR="00F96FB1" w:rsidRDefault="00D33884">
      <w:pPr>
        <w:spacing w:line="360" w:lineRule="auto"/>
      </w:pPr>
      <w:r>
        <w:rPr>
          <w:rFonts w:hint="eastAsia"/>
        </w:rPr>
        <w:t>九、【操作风险】由于回购双方未按规定和约定进行交易申报和结算申报，交易要素填报错误、资金划付、通知与送达异常、</w:t>
      </w:r>
      <w:r>
        <w:rPr>
          <w:rFonts w:hint="eastAsia"/>
        </w:rPr>
        <w:lastRenderedPageBreak/>
        <w:t>证券公司或结算代理人未履行职责等原因导致的操作风险。</w:t>
      </w:r>
    </w:p>
    <w:p w:rsidR="00F96FB1" w:rsidRDefault="00D33884">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rsidR="00F96FB1" w:rsidRDefault="00D33884">
      <w:pPr>
        <w:spacing w:line="360" w:lineRule="auto"/>
      </w:pPr>
      <w:r>
        <w:rPr>
          <w:rFonts w:hint="eastAsia"/>
        </w:rPr>
        <w:t>十一、【不可抗力风险】在三方回购的存续期间，如果因出现火灾、地震、瘟疫、社会动乱等不能预见、避免或克服的不可抗力情形，可能会给回购双方造成经济损失。</w:t>
      </w:r>
    </w:p>
    <w:p w:rsidR="00F96FB1" w:rsidRDefault="00D33884">
      <w:pPr>
        <w:spacing w:line="360" w:lineRule="auto"/>
      </w:pPr>
      <w:r>
        <w:rPr>
          <w:rFonts w:hint="eastAsia"/>
        </w:rPr>
        <w:t>十二、【技术风险】可能因为证券公司、上交所或者登记结算机构等的系统故障或者差错而影响交易的正常进行或者导致经纪客户的利益受到影响。</w:t>
      </w:r>
    </w:p>
    <w:p w:rsidR="00F96FB1" w:rsidRDefault="00D33884">
      <w:pPr>
        <w:spacing w:line="360" w:lineRule="auto"/>
      </w:pPr>
      <w:r>
        <w:rPr>
          <w:rFonts w:hAnsi="华文仿宋" w:cs="Arial" w:hint="eastAsia"/>
        </w:rPr>
        <w:t>参与人为机构的，应由法定代表人或其授权代理人签署并加盖机构公章或合同专用章。参与人为资产管理、理财等产品的，由产品管理人的法定代表人或其授权代理人签署。</w:t>
      </w:r>
    </w:p>
    <w:p w:rsidR="00F96FB1" w:rsidRDefault="00D33884">
      <w:pPr>
        <w:spacing w:line="360" w:lineRule="auto"/>
        <w:ind w:firstLine="480"/>
        <w:rPr>
          <w:rFonts w:hAnsi="华文仿宋" w:cs="Arial"/>
          <w:sz w:val="24"/>
          <w:szCs w:val="24"/>
        </w:rPr>
      </w:pPr>
      <w:r>
        <w:rPr>
          <w:rFonts w:hAnsi="华文仿宋" w:cs="Arial"/>
          <w:sz w:val="24"/>
          <w:szCs w:val="24"/>
        </w:rPr>
        <w:br w:type="page"/>
      </w:r>
    </w:p>
    <w:p w:rsidR="00F96FB1" w:rsidRDefault="00D33884">
      <w:pPr>
        <w:pStyle w:val="2"/>
        <w:rPr>
          <w:sz w:val="36"/>
          <w:szCs w:val="36"/>
        </w:rPr>
      </w:pPr>
      <w:bookmarkStart w:id="46" w:name="_Toc117606512"/>
      <w:r>
        <w:rPr>
          <w:sz w:val="36"/>
          <w:szCs w:val="36"/>
        </w:rPr>
        <w:lastRenderedPageBreak/>
        <w:t>2.</w:t>
      </w:r>
      <w:r>
        <w:rPr>
          <w:rFonts w:hint="eastAsia"/>
          <w:sz w:val="36"/>
          <w:szCs w:val="36"/>
        </w:rPr>
        <w:t>6</w:t>
      </w:r>
      <w:r>
        <w:rPr>
          <w:sz w:val="36"/>
          <w:szCs w:val="36"/>
        </w:rPr>
        <w:t xml:space="preserve"> </w:t>
      </w:r>
      <w:r>
        <w:rPr>
          <w:rFonts w:hint="eastAsia"/>
          <w:sz w:val="36"/>
          <w:szCs w:val="36"/>
        </w:rPr>
        <w:t>上海证券交易所债券质押式协议回购交易投资者风险揭示书必备条款</w:t>
      </w:r>
      <w:bookmarkEnd w:id="46"/>
    </w:p>
    <w:p w:rsidR="00F96FB1" w:rsidRDefault="00D33884">
      <w:pPr>
        <w:spacing w:line="360" w:lineRule="auto"/>
        <w:ind w:firstLine="480"/>
        <w:jc w:val="center"/>
        <w:rPr>
          <w:sz w:val="24"/>
          <w:szCs w:val="24"/>
        </w:rPr>
      </w:pPr>
      <w:r>
        <w:rPr>
          <w:rFonts w:hint="eastAsia"/>
          <w:sz w:val="24"/>
          <w:szCs w:val="24"/>
        </w:rPr>
        <w:t>（2015年2月16日发布）</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rsidR="00F96FB1" w:rsidRDefault="00D33884">
      <w:pPr>
        <w:spacing w:line="360" w:lineRule="auto"/>
      </w:pPr>
      <w:r>
        <w:rPr>
          <w:rFonts w:hint="eastAsia"/>
        </w:rPr>
        <w:t>一、【总则】协议回购具有市场风险、信用风险、利益冲突风险、操作风险、政策风险等风险。</w:t>
      </w:r>
    </w:p>
    <w:p w:rsidR="00F96FB1" w:rsidRDefault="00D33884">
      <w:pPr>
        <w:spacing w:line="360" w:lineRule="auto"/>
      </w:pPr>
      <w:r>
        <w:rPr>
          <w:rFonts w:hint="eastAsia"/>
        </w:rPr>
        <w:t>二、【投资者适当性】投资者应当根据自身财务状况、实际需求、风险识别和承受能力，慎重考虑是否适宜参与协议回购。</w:t>
      </w:r>
    </w:p>
    <w:p w:rsidR="00F96FB1" w:rsidRDefault="00D33884">
      <w:pPr>
        <w:spacing w:line="360" w:lineRule="auto"/>
      </w:pPr>
      <w:r>
        <w:rPr>
          <w:rFonts w:hint="eastAsia"/>
        </w:rPr>
        <w:t>三、【市场风险】回购存续期间，债券处于质押状态，正回购方无法卖出或另作他用，正回购方可能承担因债券价格波动而产生的风险。</w:t>
      </w:r>
    </w:p>
    <w:p w:rsidR="00F96FB1" w:rsidRDefault="00D33884">
      <w:pPr>
        <w:spacing w:line="360" w:lineRule="auto"/>
        <w:rPr>
          <w:color w:val="FF0000"/>
        </w:rPr>
      </w:pPr>
      <w:r>
        <w:rPr>
          <w:rFonts w:hint="eastAsia"/>
        </w:rPr>
        <w:t>四、【信用风险】协议回购</w:t>
      </w:r>
      <w:r>
        <w:rPr>
          <w:rFonts w:hAnsi="Cambria" w:hint="eastAsia"/>
          <w:lang w:bidi="en-US"/>
        </w:rPr>
        <w:t>交易</w:t>
      </w:r>
      <w:r>
        <w:rPr>
          <w:rFonts w:hAnsi="宋体" w:cs="宋体" w:hint="eastAsia"/>
          <w:color w:val="000000"/>
        </w:rPr>
        <w:t>中面临交易对手的信用风险，以及由此可能造成的损失，包括但不限于因交易对手</w:t>
      </w:r>
      <w:r>
        <w:rPr>
          <w:rFonts w:hint="eastAsia"/>
        </w:rPr>
        <w:t>违反相关法规、《上海证券交易所债券质押式协议回购交易主协议》、补充协议和协议回购交易的规定或约定，相关账户的资金和质押券不足等情形，导致协议回购交易无法达成或按约定终止、交收或质</w:t>
      </w:r>
      <w:r>
        <w:rPr>
          <w:rFonts w:hint="eastAsia"/>
        </w:rPr>
        <w:lastRenderedPageBreak/>
        <w:t>押登记失败、质押券无法按时解除质押</w:t>
      </w:r>
      <w:r>
        <w:rPr>
          <w:rFonts w:hAnsi="宋体" w:cs="宋体" w:hint="eastAsia"/>
          <w:color w:val="000000"/>
        </w:rPr>
        <w:t>等违约后果</w:t>
      </w:r>
      <w:r>
        <w:rPr>
          <w:rFonts w:hint="eastAsia"/>
        </w:rPr>
        <w:t>。</w:t>
      </w:r>
    </w:p>
    <w:p w:rsidR="00F96FB1" w:rsidRDefault="00D33884">
      <w:pPr>
        <w:spacing w:line="360" w:lineRule="auto"/>
      </w:pPr>
      <w:r>
        <w:rPr>
          <w:rFonts w:hint="eastAsia"/>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rsidR="00F96FB1" w:rsidRDefault="00D33884">
      <w:pPr>
        <w:spacing w:line="360" w:lineRule="auto"/>
      </w:pPr>
      <w:r>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rsidR="00F96FB1" w:rsidRDefault="00D33884">
      <w:pPr>
        <w:spacing w:line="360" w:lineRule="auto"/>
      </w:pPr>
      <w:r>
        <w:rPr>
          <w:rFonts w:hint="eastAsia"/>
        </w:rPr>
        <w:t>六、【利益冲突的风险】在债券质押回购中，证券公司既可以是回购对手方，又可根据回购方委托办理交易指令申报以及其他与协议回购有关的事项，可能存在利益冲突的风险。</w:t>
      </w:r>
    </w:p>
    <w:p w:rsidR="00F96FB1" w:rsidRDefault="00D33884">
      <w:pPr>
        <w:spacing w:line="360" w:lineRule="auto"/>
      </w:pPr>
      <w:r>
        <w:rPr>
          <w:rFonts w:hint="eastAsia"/>
        </w:rPr>
        <w:t>七</w:t>
      </w:r>
      <w:r>
        <w:rPr>
          <w:rFonts w:hAnsi="宋体" w:cs="宋体" w:hint="eastAsia"/>
        </w:rPr>
        <w:t>、</w:t>
      </w:r>
      <w:r>
        <w:rPr>
          <w:rFonts w:hint="eastAsia"/>
        </w:rPr>
        <w:t>【质押券价值变动】质押券在质押期间，可能存在</w:t>
      </w:r>
      <w:r>
        <w:rPr>
          <w:rFonts w:hAnsi="宋体" w:cs="宋体" w:hint="eastAsia"/>
          <w:color w:val="000000"/>
        </w:rPr>
        <w:t>质押券价值波动、</w:t>
      </w:r>
      <w:r>
        <w:rPr>
          <w:rFonts w:hint="eastAsia"/>
        </w:rPr>
        <w:t>分期偿还、分期摊还、</w:t>
      </w:r>
      <w:r>
        <w:rPr>
          <w:rFonts w:hAnsi="宋体" w:cs="宋体" w:hint="eastAsia"/>
          <w:color w:val="000000"/>
        </w:rPr>
        <w:t>司法冻结或扣划等情形导致质押券贬值或不足的风险</w:t>
      </w:r>
      <w:r>
        <w:rPr>
          <w:rFonts w:hint="eastAsia"/>
        </w:rPr>
        <w:t>。</w:t>
      </w:r>
    </w:p>
    <w:p w:rsidR="00F96FB1" w:rsidRDefault="00D33884">
      <w:pPr>
        <w:spacing w:line="360" w:lineRule="auto"/>
        <w:rPr>
          <w:rFonts w:hAnsi="宋体" w:cs="宋体"/>
        </w:rPr>
      </w:pPr>
      <w:r>
        <w:rPr>
          <w:rFonts w:hint="eastAsia"/>
        </w:rPr>
        <w:t>八、【异常情况】回购双方进行协议回购时可能存在</w:t>
      </w:r>
      <w:r>
        <w:rPr>
          <w:rFonts w:hAnsi="宋体" w:cs="宋体" w:hint="eastAsia"/>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rPr>
        <w:t>异常情况及由此可能引发的风险。</w:t>
      </w:r>
    </w:p>
    <w:p w:rsidR="00F96FB1" w:rsidRDefault="00D33884">
      <w:pPr>
        <w:spacing w:line="360" w:lineRule="auto"/>
      </w:pPr>
      <w:r>
        <w:rPr>
          <w:rFonts w:hint="eastAsia"/>
        </w:rPr>
        <w:t>九、【操作风险】由于回购双方未按规定和约定进行申报交</w:t>
      </w:r>
      <w:r>
        <w:rPr>
          <w:rFonts w:hint="eastAsia"/>
        </w:rPr>
        <w:lastRenderedPageBreak/>
        <w:t>易和结算申报，交易要素填报错误、资金划付、通知与送达异常、证券公司或结算代理人未履行职责等原因导致的操作风险。</w:t>
      </w:r>
    </w:p>
    <w:p w:rsidR="00F96FB1" w:rsidRDefault="00D33884">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rsidR="00F96FB1" w:rsidRDefault="00D33884">
      <w:pPr>
        <w:spacing w:line="360" w:lineRule="auto"/>
      </w:pPr>
      <w:r>
        <w:rPr>
          <w:rFonts w:hint="eastAsia"/>
        </w:rPr>
        <w:t>十一、【不可抗力风险】在协议回购的存续期间，如果因出现火灾、地震、瘟疫、社会动乱等不能预见、避免或克服的不可抗力情形，可能会给回购双方造成经济损失。</w:t>
      </w:r>
    </w:p>
    <w:p w:rsidR="00F96FB1" w:rsidRDefault="00D33884">
      <w:pPr>
        <w:spacing w:line="360" w:lineRule="auto"/>
      </w:pPr>
      <w:r>
        <w:rPr>
          <w:rFonts w:hint="eastAsia"/>
        </w:rPr>
        <w:t>十二、【技术风险】可能因为证券公司、上交所或者登记结算机构等的系统故障或者差错而影响交易的正常进行或者导致客户的利益受到影响。</w:t>
      </w:r>
    </w:p>
    <w:p w:rsidR="00F96FB1" w:rsidRDefault="00D33884">
      <w:pPr>
        <w:spacing w:line="360" w:lineRule="auto"/>
        <w:rPr>
          <w:rFonts w:hAnsi="华文仿宋" w:cs="Arial"/>
          <w:sz w:val="24"/>
          <w:szCs w:val="24"/>
        </w:rPr>
      </w:pPr>
      <w:r>
        <w:rPr>
          <w:rFonts w:hAnsi="华文仿宋" w:cs="Arial" w:hint="eastAsia"/>
        </w:rPr>
        <w:t>参与人为机构的，应由法定代表人或其授权代表人签署并加盖机构公章或合同专用章。参与人为资管、理财等产品的，由资管、理财等产品的管理人签署。</w:t>
      </w:r>
      <w:r>
        <w:rPr>
          <w:rFonts w:hAnsi="华文仿宋" w:cs="Arial"/>
          <w:sz w:val="24"/>
          <w:szCs w:val="24"/>
        </w:rPr>
        <w:br w:type="page"/>
      </w:r>
    </w:p>
    <w:p w:rsidR="00F96FB1" w:rsidRDefault="00D33884">
      <w:pPr>
        <w:pStyle w:val="1"/>
        <w:ind w:firstLineChars="0" w:firstLine="0"/>
        <w:rPr>
          <w:sz w:val="36"/>
          <w:szCs w:val="36"/>
        </w:rPr>
      </w:pPr>
      <w:bookmarkStart w:id="47" w:name="_Toc117606513"/>
      <w:r>
        <w:rPr>
          <w:sz w:val="36"/>
          <w:szCs w:val="36"/>
        </w:rPr>
        <w:lastRenderedPageBreak/>
        <w:t>III. REITs</w:t>
      </w:r>
      <w:bookmarkEnd w:id="47"/>
    </w:p>
    <w:p w:rsidR="00F96FB1" w:rsidRDefault="00F96FB1">
      <w:pPr>
        <w:ind w:firstLine="480"/>
        <w:rPr>
          <w:sz w:val="24"/>
          <w:szCs w:val="24"/>
        </w:rPr>
      </w:pPr>
    </w:p>
    <w:p w:rsidR="00F96FB1" w:rsidRDefault="00D33884">
      <w:pPr>
        <w:pStyle w:val="2"/>
        <w:rPr>
          <w:sz w:val="36"/>
          <w:szCs w:val="36"/>
        </w:rPr>
      </w:pPr>
      <w:bookmarkStart w:id="48" w:name="_Toc117606514"/>
      <w:r>
        <w:rPr>
          <w:sz w:val="36"/>
          <w:szCs w:val="36"/>
        </w:rPr>
        <w:t xml:space="preserve">3.1 </w:t>
      </w:r>
      <w:r>
        <w:rPr>
          <w:rFonts w:hint="eastAsia"/>
          <w:sz w:val="36"/>
          <w:szCs w:val="36"/>
        </w:rPr>
        <w:t>上海证券交易所公开募集基础设施证券投资基金（REITs）投资者风险揭示书必备条款</w:t>
      </w:r>
      <w:bookmarkEnd w:id="48"/>
    </w:p>
    <w:p w:rsidR="00F96FB1" w:rsidRDefault="00D33884">
      <w:pPr>
        <w:spacing w:line="360" w:lineRule="auto"/>
        <w:ind w:firstLine="480"/>
        <w:jc w:val="center"/>
        <w:rPr>
          <w:sz w:val="24"/>
          <w:szCs w:val="24"/>
        </w:rPr>
      </w:pPr>
      <w:r>
        <w:rPr>
          <w:rFonts w:hint="eastAsia"/>
          <w:sz w:val="24"/>
          <w:szCs w:val="24"/>
        </w:rPr>
        <w:t>（2021年4月30日发布）</w:t>
      </w:r>
    </w:p>
    <w:p w:rsidR="00F96FB1" w:rsidRDefault="00F96FB1">
      <w:pPr>
        <w:spacing w:line="360" w:lineRule="auto"/>
        <w:ind w:firstLine="480"/>
        <w:jc w:val="center"/>
        <w:rPr>
          <w:sz w:val="24"/>
          <w:szCs w:val="24"/>
        </w:rPr>
      </w:pPr>
    </w:p>
    <w:p w:rsidR="00F96FB1" w:rsidRDefault="00D33884">
      <w:pPr>
        <w:adjustRightInd w:val="0"/>
        <w:snapToGrid w:val="0"/>
        <w:spacing w:line="360" w:lineRule="auto"/>
      </w:pPr>
      <w:r>
        <w:rPr>
          <w:rFonts w:hint="eastAsia"/>
        </w:rPr>
        <w:t>为了使投资者充分了解上海证券交易所（以下简称上交所）公开募集基础设施证券投资基金</w:t>
      </w:r>
      <w:r>
        <w:rPr>
          <w:rFonts w:hAnsi="微软雅黑" w:hint="eastAsia"/>
          <w:color w:val="4D4D4D"/>
        </w:rPr>
        <w:t>（</w:t>
      </w:r>
      <w:r>
        <w:rPr>
          <w:rFonts w:hAnsi="微软雅黑"/>
          <w:color w:val="4D4D4D"/>
        </w:rPr>
        <w:t>REITs）</w:t>
      </w:r>
      <w:r>
        <w:rPr>
          <w:rFonts w:hint="eastAsia"/>
        </w:rPr>
        <w:t>（以下简称基础设施基金）相关业务的风险，开展基础设施基金经纪业务的证券公司和基金管理人及</w:t>
      </w:r>
      <w:r>
        <w:rPr>
          <w:rFonts w:hAnsi="微软雅黑" w:hint="eastAsia"/>
          <w:color w:val="4D4D4D"/>
        </w:rPr>
        <w:t>基金销售机构</w:t>
      </w:r>
      <w:r>
        <w:rPr>
          <w:rFonts w:hint="eastAsia"/>
        </w:rPr>
        <w:t>应当制定《公开募集基础设施证券投资基金</w:t>
      </w:r>
      <w:r>
        <w:rPr>
          <w:rFonts w:hAnsi="微软雅黑" w:hint="eastAsia"/>
          <w:color w:val="4D4D4D"/>
        </w:rPr>
        <w:t>（</w:t>
      </w:r>
      <w:r>
        <w:rPr>
          <w:rFonts w:hAnsi="微软雅黑"/>
          <w:color w:val="4D4D4D"/>
        </w:rPr>
        <w:t>REITs）</w:t>
      </w:r>
      <w:r>
        <w:rPr>
          <w:rFonts w:hint="eastAsia"/>
        </w:rPr>
        <w:t>交易风险揭示书》（以下简称《风险揭示书》），向参与首次认购或买入基础设施基金份额的普通投资者充分揭示风险。</w:t>
      </w:r>
    </w:p>
    <w:p w:rsidR="00F96FB1" w:rsidRDefault="00D33884">
      <w:pPr>
        <w:adjustRightInd w:val="0"/>
        <w:snapToGrid w:val="0"/>
        <w:spacing w:line="360" w:lineRule="auto"/>
        <w:rPr>
          <w:color w:val="000000"/>
        </w:rPr>
      </w:pPr>
      <w:r>
        <w:rPr>
          <w:rFonts w:hint="eastAsia"/>
          <w:color w:val="000000"/>
        </w:rPr>
        <w:t>《风险揭示书》应当至少包括下列内容：</w:t>
      </w:r>
    </w:p>
    <w:p w:rsidR="00F96FB1" w:rsidRDefault="00D33884">
      <w:pPr>
        <w:adjustRightInd w:val="0"/>
        <w:snapToGrid w:val="0"/>
        <w:spacing w:line="360" w:lineRule="auto"/>
      </w:pPr>
      <w:r>
        <w:rPr>
          <w:rFonts w:hint="eastAsia"/>
        </w:rPr>
        <w:t>基础设施基金采用“公募基金+基础设施资产支持证券”的产品结构，主要特点如下：一是基础设施基金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90%；三是基础设施基金采取封闭式运作，不开放申购与赎回，在证券交易所上市，场外份额持有人需将基金份额转托管至场内才可卖出或申报预受要约。</w:t>
      </w:r>
    </w:p>
    <w:p w:rsidR="00F96FB1" w:rsidRDefault="00D33884">
      <w:pPr>
        <w:adjustRightInd w:val="0"/>
        <w:snapToGrid w:val="0"/>
        <w:spacing w:line="360" w:lineRule="auto"/>
      </w:pPr>
      <w:r>
        <w:rPr>
          <w:rFonts w:hint="eastAsia"/>
        </w:rPr>
        <w:lastRenderedPageBreak/>
        <w:t>一、基金价格波动风险。基础设施基金大部分资产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rsidR="00F96FB1" w:rsidRDefault="00D33884">
      <w:pPr>
        <w:adjustRightInd w:val="0"/>
        <w:snapToGrid w:val="0"/>
        <w:spacing w:line="360" w:lineRule="auto"/>
      </w:pPr>
      <w:r>
        <w:rPr>
          <w:rFonts w:hint="eastAsia"/>
        </w:rPr>
        <w:t>二、基础设施项目运营风险。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款，存在基础设施项目经营不达预期，基金无法偿还借款的风险。</w:t>
      </w:r>
    </w:p>
    <w:p w:rsidR="00F96FB1" w:rsidRDefault="00D33884">
      <w:pPr>
        <w:adjustRightInd w:val="0"/>
        <w:snapToGrid w:val="0"/>
        <w:spacing w:line="360" w:lineRule="auto"/>
      </w:pPr>
      <w:r>
        <w:rPr>
          <w:rFonts w:hint="eastAsia"/>
        </w:rPr>
        <w:t>三、流动性风险。基础设施基金采取封闭式运作，不开通申购赎回，只能在二级市场交易，存在流动性不足的风险。</w:t>
      </w:r>
    </w:p>
    <w:p w:rsidR="00F96FB1" w:rsidRDefault="00D33884">
      <w:pPr>
        <w:adjustRightInd w:val="0"/>
        <w:snapToGrid w:val="0"/>
        <w:spacing w:line="360" w:lineRule="auto"/>
      </w:pPr>
      <w:r>
        <w:rPr>
          <w:rFonts w:hint="eastAsia"/>
        </w:rPr>
        <w:t>四、终止上市风险。基础设施基金运作过程中可能因触发法律法规或交易所规定的终止上市情形而终止上市，导致投资者无法在二级市场交易。</w:t>
      </w:r>
    </w:p>
    <w:p w:rsidR="00F96FB1" w:rsidRDefault="00D33884">
      <w:pPr>
        <w:adjustRightInd w:val="0"/>
        <w:snapToGrid w:val="0"/>
        <w:spacing w:line="360" w:lineRule="auto"/>
      </w:pPr>
      <w:r>
        <w:rPr>
          <w:rFonts w:hint="eastAsia"/>
        </w:rPr>
        <w:t>五、税收等政策调整风险。基础设施基金运作过程中可能涉及基金持有人、公募基金、资产支持证券、项目公司等多层面税负，如果国家税收等政策发生调整，可能影响投资运作与基金收益。</w:t>
      </w:r>
    </w:p>
    <w:p w:rsidR="00F96FB1" w:rsidRDefault="00D33884">
      <w:pPr>
        <w:adjustRightInd w:val="0"/>
        <w:snapToGrid w:val="0"/>
        <w:spacing w:line="360" w:lineRule="auto"/>
      </w:pPr>
      <w:r>
        <w:rPr>
          <w:rFonts w:hint="eastAsia"/>
        </w:rPr>
        <w:t>六、基础设施基金相关法律、行政法规、部门规章、规范性文件（以下简称法律法规）和交易所业务规则，可能根据市场情</w:t>
      </w:r>
      <w:r>
        <w:rPr>
          <w:rFonts w:hint="eastAsia"/>
        </w:rPr>
        <w:lastRenderedPageBreak/>
        <w:t>况进行修改，或者制定新的法律法规和业务规则，投资者应当及时予以关注和了解。</w:t>
      </w:r>
    </w:p>
    <w:p w:rsidR="00F96FB1" w:rsidRDefault="00D33884">
      <w:pPr>
        <w:pStyle w:val="1"/>
        <w:ind w:firstLineChars="0" w:firstLine="0"/>
        <w:rPr>
          <w:sz w:val="36"/>
          <w:szCs w:val="36"/>
        </w:rPr>
      </w:pPr>
      <w:r>
        <w:rPr>
          <w:sz w:val="36"/>
          <w:szCs w:val="36"/>
        </w:rPr>
        <w:br w:type="page"/>
      </w:r>
      <w:bookmarkStart w:id="49" w:name="_Toc117606515"/>
      <w:r>
        <w:rPr>
          <w:sz w:val="36"/>
          <w:szCs w:val="36"/>
        </w:rPr>
        <w:lastRenderedPageBreak/>
        <w:t xml:space="preserve">IV. </w:t>
      </w:r>
      <w:r>
        <w:rPr>
          <w:rFonts w:hint="eastAsia"/>
          <w:sz w:val="36"/>
          <w:szCs w:val="36"/>
        </w:rPr>
        <w:t>基金</w:t>
      </w:r>
      <w:bookmarkEnd w:id="49"/>
    </w:p>
    <w:p w:rsidR="00F96FB1" w:rsidRDefault="00F96FB1">
      <w:pPr>
        <w:widowControl/>
        <w:spacing w:line="360" w:lineRule="auto"/>
        <w:ind w:firstLineChars="0" w:firstLine="0"/>
        <w:jc w:val="left"/>
        <w:rPr>
          <w:sz w:val="24"/>
          <w:szCs w:val="24"/>
        </w:rPr>
      </w:pPr>
    </w:p>
    <w:p w:rsidR="00F96FB1" w:rsidRDefault="00D33884">
      <w:pPr>
        <w:pStyle w:val="2"/>
        <w:rPr>
          <w:rFonts w:ascii="Segoe UI"/>
          <w:sz w:val="16"/>
          <w:szCs w:val="16"/>
        </w:rPr>
      </w:pPr>
      <w:bookmarkStart w:id="50" w:name="_Toc117606516"/>
      <w:r>
        <w:rPr>
          <w:sz w:val="36"/>
          <w:szCs w:val="36"/>
        </w:rPr>
        <w:t xml:space="preserve">4.1 </w:t>
      </w:r>
      <w:r>
        <w:rPr>
          <w:rFonts w:hint="eastAsia"/>
          <w:sz w:val="36"/>
          <w:szCs w:val="36"/>
        </w:rPr>
        <w:t>上海证券交易所黄金交易型开放式证券投资基金</w:t>
      </w:r>
      <w:r>
        <w:rPr>
          <w:sz w:val="36"/>
          <w:szCs w:val="36"/>
        </w:rPr>
        <w:t>申购、赎回业务投资者风险揭示书必备条款</w:t>
      </w:r>
      <w:bookmarkEnd w:id="50"/>
    </w:p>
    <w:p w:rsidR="00F96FB1" w:rsidRDefault="00D33884">
      <w:pPr>
        <w:spacing w:line="360" w:lineRule="auto"/>
        <w:ind w:firstLine="480"/>
        <w:jc w:val="center"/>
        <w:rPr>
          <w:sz w:val="24"/>
          <w:szCs w:val="24"/>
        </w:rPr>
      </w:pPr>
      <w:r>
        <w:rPr>
          <w:rFonts w:hint="eastAsia"/>
          <w:sz w:val="24"/>
          <w:szCs w:val="24"/>
        </w:rPr>
        <w:t>（2013年7月27日发布）</w:t>
      </w:r>
    </w:p>
    <w:p w:rsidR="00F96FB1" w:rsidRDefault="00F96FB1">
      <w:pPr>
        <w:spacing w:line="360" w:lineRule="auto"/>
        <w:ind w:firstLine="480"/>
        <w:rPr>
          <w:sz w:val="24"/>
          <w:szCs w:val="24"/>
        </w:rPr>
      </w:pPr>
    </w:p>
    <w:p w:rsidR="00F96FB1" w:rsidRDefault="00D33884">
      <w:pPr>
        <w:spacing w:line="360" w:lineRule="auto"/>
        <w:rPr>
          <w:rFonts w:ascii="Segoe UI" w:eastAsia="宋体"/>
        </w:rPr>
      </w:pPr>
      <w:r>
        <w:rPr>
          <w:rFonts w:hint="eastAsia"/>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rsidR="00F96FB1" w:rsidRDefault="00D33884">
      <w:pPr>
        <w:spacing w:line="360" w:lineRule="auto"/>
        <w:rPr>
          <w:rFonts w:ascii="Segoe UI" w:eastAsia="宋体"/>
        </w:rPr>
      </w:pPr>
      <w:r>
        <w:rPr>
          <w:rFonts w:hint="eastAsia"/>
        </w:rPr>
        <w:t>一、客户在办理黄金ETF申赎业务前，必须了解现金申赎、黄金现货合约申赎两种模式的差异。对于进行黄金合约申赎的投客户，必须同时了解本所和上海黄金交易所（以下简称“金交所”）有关规则和停复牌信息、两所代办会员的有关业务协议和流程以及基金公司相关法律文件。</w:t>
      </w:r>
    </w:p>
    <w:p w:rsidR="00F96FB1" w:rsidRDefault="00D33884">
      <w:pPr>
        <w:spacing w:line="360" w:lineRule="auto"/>
        <w:rPr>
          <w:rFonts w:ascii="Segoe UI" w:eastAsia="宋体"/>
        </w:rPr>
      </w:pPr>
      <w:r>
        <w:rPr>
          <w:rFonts w:hint="eastAsia"/>
        </w:rPr>
        <w:t>二、客户在参与黄金ETF现金申赎或黄金合约申赎业务前，必须了解所在的证券公司是否是该黄金ETF的代办证券公司。与不具备代办资格的证券公司进行相关业务带来的损失由投资者自行承担。</w:t>
      </w:r>
    </w:p>
    <w:p w:rsidR="00F96FB1" w:rsidRDefault="00D33884">
      <w:pPr>
        <w:spacing w:line="360" w:lineRule="auto"/>
      </w:pPr>
      <w:r>
        <w:rPr>
          <w:rFonts w:hint="eastAsia"/>
        </w:rPr>
        <w:t>三、客户在进行黄金现货合约申赎前，必须通过金交所会员在基金管理人处完成账户备案，并由基金管理人对投资者备案账户信息进行核对与审查，经基金管理人审查与同意后，投资者方</w:t>
      </w:r>
      <w:r>
        <w:rPr>
          <w:rFonts w:hint="eastAsia"/>
        </w:rPr>
        <w:lastRenderedPageBreak/>
        <w:t>可进行黄金现货合约申赎。</w:t>
      </w:r>
    </w:p>
    <w:p w:rsidR="00F96FB1" w:rsidRDefault="00D33884">
      <w:pPr>
        <w:spacing w:line="360" w:lineRule="auto"/>
      </w:pPr>
      <w:r>
        <w:rPr>
          <w:rFonts w:hint="eastAsia"/>
        </w:rPr>
        <w:t>四、投资者在收到代办券商交易单元变更等通知后，必须尽快更新代办券商交易单元信息，以防止黄金合约申赎份额无法实时可用或者失败的情况。</w:t>
      </w:r>
    </w:p>
    <w:p w:rsidR="00F96FB1" w:rsidRDefault="00D33884">
      <w:pPr>
        <w:spacing w:line="360" w:lineRule="auto"/>
      </w:pPr>
      <w:r>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rsidR="00F96FB1" w:rsidRDefault="00D33884">
      <w:pPr>
        <w:spacing w:line="360" w:lineRule="auto"/>
      </w:pPr>
      <w:r>
        <w:rPr>
          <w:rFonts w:hint="eastAsia"/>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rsidR="00F96FB1" w:rsidRDefault="00D33884">
      <w:pPr>
        <w:spacing w:line="360" w:lineRule="auto"/>
      </w:pPr>
      <w:r>
        <w:rPr>
          <w:rFonts w:hint="eastAsia"/>
        </w:rPr>
        <w:t>七、客户应当关注黄金ETF申赎业务中面临的各种操作风险，</w:t>
      </w:r>
      <w:r>
        <w:rPr>
          <w:rFonts w:hint="eastAsia"/>
        </w:rPr>
        <w:lastRenderedPageBreak/>
        <w:t>以及由此可能造成的损失，包括但不限于基金公司申赎清单错误、证券公司操作错误、投资者账户绑定及PBU变更等错误、通讯失效而不能及时完成相关业务等情况。</w:t>
      </w:r>
    </w:p>
    <w:p w:rsidR="00F96FB1" w:rsidRDefault="00D33884">
      <w:pPr>
        <w:spacing w:line="360" w:lineRule="auto"/>
      </w:pPr>
      <w:r>
        <w:rPr>
          <w:rFonts w:hint="eastAsia"/>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rsidR="00F96FB1" w:rsidRDefault="00D33884">
      <w:pPr>
        <w:spacing w:line="360" w:lineRule="auto"/>
      </w:pPr>
      <w:r>
        <w:rPr>
          <w:rFonts w:hint="eastAsia"/>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rsidR="00F96FB1" w:rsidRDefault="00D33884">
      <w:pPr>
        <w:spacing w:line="360" w:lineRule="auto"/>
        <w:rPr>
          <w:rFonts w:hAnsi="Segoe UI" w:cs="Segoe UI"/>
          <w:color w:val="4D4D4D"/>
        </w:rPr>
      </w:pPr>
      <w:r>
        <w:rPr>
          <w:rFonts w:hint="eastAsia"/>
        </w:rPr>
        <w:t>九、客户应当关注黄金ETF申购赎回业务中面临的各种政策风险，以及由此可能造成的损失，包括但不限于因法律法规及政策变动须被动终止该业务。</w:t>
      </w:r>
      <w:r>
        <w:rPr>
          <w:rFonts w:hAnsi="Segoe UI" w:cs="Segoe UI"/>
          <w:color w:val="4D4D4D"/>
        </w:rPr>
        <w:br w:type="page"/>
      </w:r>
    </w:p>
    <w:p w:rsidR="00F96FB1" w:rsidRDefault="00D33884">
      <w:pPr>
        <w:spacing w:line="360" w:lineRule="auto"/>
        <w:ind w:firstLineChars="0" w:firstLine="0"/>
        <w:jc w:val="center"/>
        <w:rPr>
          <w:sz w:val="24"/>
          <w:szCs w:val="24"/>
        </w:rPr>
      </w:pPr>
      <w:bookmarkStart w:id="51" w:name="_Toc117606517"/>
      <w:r>
        <w:rPr>
          <w:rStyle w:val="1Char"/>
          <w:sz w:val="36"/>
          <w:szCs w:val="36"/>
        </w:rPr>
        <w:lastRenderedPageBreak/>
        <w:t>V. 股票期权</w:t>
      </w:r>
      <w:bookmarkEnd w:id="51"/>
    </w:p>
    <w:p w:rsidR="00F96FB1" w:rsidRDefault="00F96FB1">
      <w:pPr>
        <w:ind w:firstLine="480"/>
        <w:rPr>
          <w:sz w:val="24"/>
          <w:szCs w:val="24"/>
        </w:rPr>
      </w:pPr>
    </w:p>
    <w:p w:rsidR="00F96FB1" w:rsidRDefault="00D33884">
      <w:pPr>
        <w:pStyle w:val="2"/>
        <w:rPr>
          <w:sz w:val="36"/>
          <w:szCs w:val="36"/>
        </w:rPr>
      </w:pPr>
      <w:bookmarkStart w:id="52" w:name="_Toc117606518"/>
      <w:r>
        <w:rPr>
          <w:sz w:val="36"/>
          <w:szCs w:val="36"/>
        </w:rPr>
        <w:t xml:space="preserve">5.1 </w:t>
      </w:r>
      <w:r>
        <w:rPr>
          <w:rFonts w:hint="eastAsia"/>
          <w:sz w:val="36"/>
          <w:szCs w:val="36"/>
        </w:rPr>
        <w:t>上海证券交易所股票期权投资者风险揭示书必备条款</w:t>
      </w:r>
      <w:bookmarkEnd w:id="52"/>
    </w:p>
    <w:p w:rsidR="00F96FB1" w:rsidRDefault="00D33884">
      <w:pPr>
        <w:spacing w:line="360" w:lineRule="auto"/>
        <w:ind w:firstLine="480"/>
        <w:jc w:val="center"/>
        <w:rPr>
          <w:sz w:val="24"/>
          <w:szCs w:val="24"/>
        </w:rPr>
      </w:pPr>
      <w:r>
        <w:rPr>
          <w:rFonts w:hint="eastAsia"/>
          <w:sz w:val="24"/>
          <w:szCs w:val="24"/>
        </w:rPr>
        <w:t>（</w:t>
      </w:r>
      <w:r>
        <w:rPr>
          <w:sz w:val="24"/>
          <w:szCs w:val="24"/>
        </w:rPr>
        <w:t>2015年1月9日发布）</w:t>
      </w:r>
    </w:p>
    <w:p w:rsidR="00F96FB1" w:rsidRDefault="00F96FB1">
      <w:pPr>
        <w:spacing w:line="360" w:lineRule="auto"/>
        <w:ind w:firstLine="480"/>
        <w:jc w:val="center"/>
        <w:rPr>
          <w:sz w:val="24"/>
          <w:szCs w:val="24"/>
        </w:rPr>
      </w:pPr>
    </w:p>
    <w:p w:rsidR="00F96FB1" w:rsidRDefault="00D33884">
      <w:pPr>
        <w:adjustRightInd w:val="0"/>
        <w:snapToGrid w:val="0"/>
        <w:spacing w:line="360" w:lineRule="auto"/>
        <w:rPr>
          <w:rFonts w:hAnsi="宋体"/>
        </w:rPr>
      </w:pPr>
      <w:r>
        <w:rPr>
          <w:rFonts w:hAnsi="宋体" w:hint="eastAsia"/>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rsidR="00F96FB1" w:rsidRDefault="00D33884">
      <w:pPr>
        <w:adjustRightInd w:val="0"/>
        <w:snapToGrid w:val="0"/>
        <w:spacing w:line="360" w:lineRule="auto"/>
        <w:rPr>
          <w:rFonts w:hAnsi="宋体"/>
        </w:rPr>
      </w:pPr>
      <w:r>
        <w:rPr>
          <w:rFonts w:hAnsi="宋体" w:hint="eastAsia"/>
        </w:rPr>
        <w:t>《股票期权风险揭示书》应包括下列内容：</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一、一般风险事项</w:t>
      </w:r>
    </w:p>
    <w:p w:rsidR="00F96FB1" w:rsidRDefault="00D33884">
      <w:pPr>
        <w:adjustRightInd w:val="0"/>
        <w:snapToGrid w:val="0"/>
        <w:spacing w:line="360" w:lineRule="auto"/>
        <w:rPr>
          <w:rFonts w:hAnsi="宋体"/>
        </w:rPr>
      </w:pPr>
      <w:r>
        <w:rPr>
          <w:rFonts w:hAnsi="宋体" w:hint="eastAsia"/>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rsidR="00F96FB1" w:rsidRDefault="00D33884">
      <w:pPr>
        <w:adjustRightInd w:val="0"/>
        <w:snapToGrid w:val="0"/>
        <w:spacing w:line="360" w:lineRule="auto"/>
        <w:rPr>
          <w:rFonts w:hAnsi="宋体"/>
        </w:rPr>
      </w:pPr>
      <w:r>
        <w:rPr>
          <w:rFonts w:hAnsi="宋体" w:hint="eastAsia"/>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rsidR="00F96FB1" w:rsidRDefault="00D33884">
      <w:pPr>
        <w:adjustRightInd w:val="0"/>
        <w:snapToGrid w:val="0"/>
        <w:spacing w:line="360" w:lineRule="auto"/>
        <w:rPr>
          <w:rFonts w:hAnsi="宋体"/>
        </w:rPr>
      </w:pPr>
      <w:r>
        <w:rPr>
          <w:rFonts w:hAnsi="宋体" w:hint="eastAsia"/>
        </w:rPr>
        <w:t>（三）客户在办理期权业务前，应当充分了解期权业务的风险特点。期权不同于股票交易业务，是具有杠杆性、跨期性、联</w:t>
      </w:r>
      <w:r>
        <w:rPr>
          <w:rFonts w:hAnsi="宋体" w:hint="eastAsia"/>
        </w:rPr>
        <w:lastRenderedPageBreak/>
        <w:t>动性、高风险性等特征的金融衍生工具。期权业务采用保证金交易方式，潜在损失可能成倍放大，损失的总额可能超过全部保证金。</w:t>
      </w:r>
    </w:p>
    <w:p w:rsidR="00F96FB1" w:rsidRDefault="00D33884">
      <w:pPr>
        <w:adjustRightInd w:val="0"/>
        <w:snapToGrid w:val="0"/>
        <w:spacing w:line="360" w:lineRule="auto"/>
        <w:rPr>
          <w:rFonts w:hAnsi="宋体"/>
        </w:rPr>
      </w:pPr>
      <w:r>
        <w:rPr>
          <w:rFonts w:hAnsi="宋体" w:hint="eastAsia"/>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rsidR="00F96FB1" w:rsidRDefault="00D33884">
      <w:pPr>
        <w:adjustRightInd w:val="0"/>
        <w:snapToGrid w:val="0"/>
        <w:spacing w:line="360" w:lineRule="auto"/>
        <w:rPr>
          <w:rFonts w:hAnsi="宋体"/>
        </w:rPr>
      </w:pPr>
      <w:r>
        <w:rPr>
          <w:rFonts w:hAnsi="宋体" w:hint="eastAsia"/>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rsidR="00F96FB1" w:rsidRDefault="00D33884">
      <w:pPr>
        <w:adjustRightInd w:val="0"/>
        <w:snapToGrid w:val="0"/>
        <w:spacing w:line="360" w:lineRule="auto"/>
        <w:rPr>
          <w:rFonts w:hAnsi="宋体"/>
        </w:rPr>
      </w:pPr>
      <w:r>
        <w:rPr>
          <w:rFonts w:hAnsi="宋体" w:hint="eastAsia"/>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二、交易风险事项</w:t>
      </w:r>
    </w:p>
    <w:p w:rsidR="00F96FB1" w:rsidRDefault="00D33884">
      <w:pPr>
        <w:adjustRightInd w:val="0"/>
        <w:snapToGrid w:val="0"/>
        <w:spacing w:line="360" w:lineRule="auto"/>
        <w:rPr>
          <w:rFonts w:hAnsi="宋体"/>
        </w:rPr>
      </w:pPr>
      <w:r>
        <w:rPr>
          <w:rFonts w:hAnsi="宋体" w:hint="eastAsia"/>
        </w:rPr>
        <w:t>（七）期权合约标的由上交所根据相关规则选择，并非由合</w:t>
      </w:r>
      <w:r>
        <w:rPr>
          <w:rFonts w:hAnsi="宋体" w:hint="eastAsia"/>
        </w:rPr>
        <w:lastRenderedPageBreak/>
        <w:t>约标的发行人自行决定。上交所及合约标的发行人对期权合约的上市、挂牌、合约条款以及期权市场表现不承担任何责任。期权的买方在行权交收前不享有作为合约标的持有人应当享有的权利。</w:t>
      </w:r>
    </w:p>
    <w:p w:rsidR="00F96FB1" w:rsidRDefault="00D33884">
      <w:pPr>
        <w:adjustRightInd w:val="0"/>
        <w:snapToGrid w:val="0"/>
        <w:spacing w:line="360" w:lineRule="auto"/>
        <w:rPr>
          <w:rFonts w:hAnsi="宋体"/>
        </w:rPr>
      </w:pPr>
      <w:r>
        <w:rPr>
          <w:rFonts w:hAnsi="宋体" w:hint="eastAsia"/>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rsidR="00F96FB1" w:rsidRDefault="00D33884">
      <w:pPr>
        <w:adjustRightInd w:val="0"/>
        <w:snapToGrid w:val="0"/>
        <w:spacing w:line="360" w:lineRule="auto"/>
        <w:rPr>
          <w:rFonts w:hAnsi="宋体"/>
        </w:rPr>
      </w:pPr>
      <w:r>
        <w:rPr>
          <w:rFonts w:hAnsi="宋体" w:hint="eastAsia"/>
        </w:rPr>
        <w:t>（九）客户卖出期权交易的风险一般高于买入期权交易的风险。卖方虽然能获得权利金，但也因承担行权履约义务而面临由于合约标的价格波动，可能承受远高于该笔权利金的损失。</w:t>
      </w:r>
    </w:p>
    <w:p w:rsidR="00F96FB1" w:rsidRDefault="00D33884">
      <w:pPr>
        <w:adjustRightInd w:val="0"/>
        <w:snapToGrid w:val="0"/>
        <w:spacing w:line="360" w:lineRule="auto"/>
        <w:rPr>
          <w:rFonts w:hAnsi="宋体"/>
        </w:rPr>
      </w:pPr>
      <w:r>
        <w:rPr>
          <w:rFonts w:hAnsi="宋体" w:hint="eastAsia"/>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rsidR="00F96FB1" w:rsidRDefault="00D33884">
      <w:pPr>
        <w:adjustRightInd w:val="0"/>
        <w:snapToGrid w:val="0"/>
        <w:spacing w:line="360" w:lineRule="auto"/>
        <w:rPr>
          <w:rFonts w:hAnsi="宋体"/>
        </w:rPr>
      </w:pPr>
      <w:r>
        <w:rPr>
          <w:rFonts w:hAnsi="宋体" w:hint="eastAsia"/>
        </w:rPr>
        <w:t>（十一）客户应当关注期权的涨跌幅限制，期权的涨跌幅限制的计算方式与现货涨跌幅计算方式不同，客户应当关注期权合约的每日涨跌停价格。</w:t>
      </w:r>
    </w:p>
    <w:p w:rsidR="00F96FB1" w:rsidRDefault="00D33884">
      <w:pPr>
        <w:adjustRightInd w:val="0"/>
        <w:snapToGrid w:val="0"/>
        <w:spacing w:line="360" w:lineRule="auto"/>
        <w:rPr>
          <w:rFonts w:hAnsi="宋体"/>
        </w:rPr>
      </w:pPr>
      <w:r>
        <w:rPr>
          <w:rFonts w:hAnsi="宋体" w:hint="eastAsia"/>
        </w:rPr>
        <w:t>（十二）客户在进行期权交易时，应关注当合约标的发生分红、派息、送股、公积金转增股本、配股、份额拆分或者合并等</w:t>
      </w:r>
      <w:r>
        <w:rPr>
          <w:rFonts w:hAnsi="宋体" w:hint="eastAsia"/>
        </w:rPr>
        <w:lastRenderedPageBreak/>
        <w:t>情况时，会对合约标的进行除权除息处理，上交所将对尚未到期的期权合约的合约单位、行权价格进行调整，合约的交易与结算事宜将按照调整后的合约条款进行。</w:t>
      </w:r>
    </w:p>
    <w:p w:rsidR="00F96FB1" w:rsidRDefault="00D33884">
      <w:pPr>
        <w:adjustRightInd w:val="0"/>
        <w:snapToGrid w:val="0"/>
        <w:spacing w:line="360" w:lineRule="auto"/>
        <w:rPr>
          <w:rFonts w:hAnsi="宋体"/>
        </w:rPr>
      </w:pPr>
      <w:r>
        <w:rPr>
          <w:rFonts w:hAnsi="宋体" w:hint="eastAsia"/>
        </w:rPr>
        <w:t>（十三）客户应关注期权合约存续期间，合约标的停牌的，对应期权合约交易也停牌；当期权交易出现异常波动或者涉嫌违法违规等情形时，上交所可能对期权合约进行停牌。</w:t>
      </w:r>
    </w:p>
    <w:p w:rsidR="00F96FB1" w:rsidRDefault="00D33884">
      <w:pPr>
        <w:adjustRightInd w:val="0"/>
        <w:snapToGrid w:val="0"/>
        <w:spacing w:line="360" w:lineRule="auto"/>
        <w:rPr>
          <w:rFonts w:hAnsi="宋体"/>
        </w:rPr>
      </w:pPr>
      <w:r>
        <w:rPr>
          <w:rFonts w:hAnsi="宋体" w:hint="eastAsia"/>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rsidR="00F96FB1" w:rsidRDefault="00D33884">
      <w:pPr>
        <w:adjustRightInd w:val="0"/>
        <w:snapToGrid w:val="0"/>
        <w:spacing w:line="360" w:lineRule="auto"/>
        <w:rPr>
          <w:rFonts w:hAnsi="宋体"/>
        </w:rPr>
      </w:pPr>
      <w:r>
        <w:rPr>
          <w:rFonts w:hAnsi="宋体" w:hint="eastAsia"/>
        </w:rPr>
        <w:t>（十五）客户应当关注期权合约可能难以或无法平仓的风险及其可能造成的损失，当市场交易量不足或者连续出现单边涨跌停价格时，期权合约持有者可能无法在市场上找到平仓机会。</w:t>
      </w:r>
    </w:p>
    <w:p w:rsidR="00F96FB1" w:rsidRDefault="00D33884">
      <w:pPr>
        <w:adjustRightInd w:val="0"/>
        <w:snapToGrid w:val="0"/>
        <w:spacing w:line="360" w:lineRule="auto"/>
        <w:rPr>
          <w:color w:val="000000"/>
        </w:rPr>
      </w:pPr>
      <w:r>
        <w:rPr>
          <w:rFonts w:hAnsi="宋体" w:hint="eastAsia"/>
        </w:rPr>
        <w:t>（十六）客户应关注</w:t>
      </w:r>
      <w:r>
        <w:rPr>
          <w:rFonts w:hint="eastAsia"/>
          <w:color w:val="000000"/>
        </w:rPr>
        <w:t>组合策略持仓不参加每日日终的持仓自动对冲，组合策略持仓存续期间，如遇</w:t>
      </w:r>
      <w:r>
        <w:rPr>
          <w:color w:val="000000"/>
        </w:rPr>
        <w:t>1个以上成分合约已达到上交所及中国结算规定的自动解除触发日期，该组合策略于当日日终自动解除。除上交所规定的组合策略类型之外，投资者不得对组合策略对应的成分合约持仓进行单边平仓。</w:t>
      </w:r>
    </w:p>
    <w:p w:rsidR="00F96FB1" w:rsidRDefault="00D33884">
      <w:pPr>
        <w:adjustRightInd w:val="0"/>
        <w:snapToGrid w:val="0"/>
        <w:spacing w:line="360" w:lineRule="auto"/>
        <w:rPr>
          <w:rFonts w:hAnsi="宋体"/>
        </w:rPr>
      </w:pPr>
      <w:r>
        <w:rPr>
          <w:rFonts w:hint="eastAsia"/>
          <w:color w:val="000000"/>
        </w:rPr>
        <w:t>（十七）</w:t>
      </w:r>
      <w:r>
        <w:rPr>
          <w:rFonts w:hAnsi="宋体" w:hint="eastAsia"/>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w:t>
      </w:r>
      <w:r>
        <w:rPr>
          <w:rFonts w:hAnsi="宋体" w:hint="eastAsia"/>
        </w:rPr>
        <w:lastRenderedPageBreak/>
        <w:t>的权利金额度的，相应卖出开仓或者买入开仓申报无效。</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三、结算风险事项</w:t>
      </w:r>
    </w:p>
    <w:p w:rsidR="00F96FB1" w:rsidRDefault="00D33884">
      <w:pPr>
        <w:adjustRightInd w:val="0"/>
        <w:snapToGrid w:val="0"/>
        <w:spacing w:line="360" w:lineRule="auto"/>
        <w:rPr>
          <w:rFonts w:hAnsi="宋体"/>
        </w:rPr>
      </w:pPr>
      <w:r>
        <w:rPr>
          <w:rFonts w:hAnsi="宋体" w:hint="eastAsia"/>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rsidR="00F96FB1" w:rsidRDefault="00D33884">
      <w:pPr>
        <w:adjustRightInd w:val="0"/>
        <w:snapToGrid w:val="0"/>
        <w:spacing w:line="360" w:lineRule="auto"/>
        <w:rPr>
          <w:rFonts w:hAnsi="宋体"/>
        </w:rPr>
      </w:pPr>
      <w:r>
        <w:rPr>
          <w:rFonts w:hAnsi="宋体" w:hint="eastAsia"/>
        </w:rPr>
        <w:t>（十九）客户交纳的保证金将用以承担相应的交收及违约责任，结算参与人、期权经营机构代其承担相应责任的，将取得相应追偿权。</w:t>
      </w:r>
    </w:p>
    <w:p w:rsidR="00F96FB1" w:rsidRDefault="00D33884">
      <w:pPr>
        <w:adjustRightInd w:val="0"/>
        <w:snapToGrid w:val="0"/>
        <w:spacing w:line="360" w:lineRule="auto"/>
        <w:rPr>
          <w:rFonts w:hAnsi="宋体"/>
        </w:rPr>
      </w:pPr>
      <w:r>
        <w:rPr>
          <w:rFonts w:hAnsi="宋体" w:hint="eastAsia"/>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rsidR="00F96FB1" w:rsidRDefault="00D33884">
      <w:pPr>
        <w:adjustRightInd w:val="0"/>
        <w:snapToGrid w:val="0"/>
        <w:spacing w:line="360" w:lineRule="auto"/>
        <w:rPr>
          <w:rFonts w:hAnsi="宋体"/>
        </w:rPr>
      </w:pPr>
      <w:r>
        <w:rPr>
          <w:rFonts w:hAnsi="宋体" w:hint="eastAsia"/>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w:t>
      </w:r>
      <w:r>
        <w:rPr>
          <w:rFonts w:hAnsi="宋体" w:hint="eastAsia"/>
        </w:rPr>
        <w:lastRenderedPageBreak/>
        <w:t>平仓造成的损失扩大部分。</w:t>
      </w:r>
    </w:p>
    <w:p w:rsidR="00F96FB1" w:rsidRDefault="00D33884">
      <w:pPr>
        <w:adjustRightInd w:val="0"/>
        <w:snapToGrid w:val="0"/>
        <w:spacing w:line="360" w:lineRule="auto"/>
        <w:rPr>
          <w:rFonts w:hAnsi="宋体"/>
        </w:rPr>
      </w:pPr>
      <w:r>
        <w:rPr>
          <w:rFonts w:hAnsi="宋体" w:hint="eastAsia"/>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rsidR="00F96FB1" w:rsidRDefault="00D33884">
      <w:pPr>
        <w:adjustRightInd w:val="0"/>
        <w:snapToGrid w:val="0"/>
        <w:spacing w:line="360" w:lineRule="auto"/>
        <w:rPr>
          <w:rFonts w:hAnsi="宋体"/>
        </w:rPr>
      </w:pPr>
      <w:r>
        <w:rPr>
          <w:rFonts w:hAnsi="宋体" w:hint="eastAsia"/>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rsidR="00F96FB1" w:rsidRDefault="00D33884">
      <w:pPr>
        <w:adjustRightInd w:val="0"/>
        <w:snapToGrid w:val="0"/>
        <w:spacing w:line="360" w:lineRule="auto"/>
        <w:rPr>
          <w:rFonts w:hAnsi="宋体"/>
        </w:rPr>
      </w:pPr>
      <w:r>
        <w:rPr>
          <w:rFonts w:hAnsi="宋体" w:hint="eastAsia"/>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rsidR="00F96FB1" w:rsidRDefault="00D33884">
      <w:pPr>
        <w:adjustRightInd w:val="0"/>
        <w:snapToGrid w:val="0"/>
        <w:spacing w:line="360" w:lineRule="auto"/>
        <w:rPr>
          <w:rFonts w:hAnsi="宋体"/>
          <w:color w:val="000000"/>
        </w:rPr>
      </w:pPr>
      <w:r>
        <w:rPr>
          <w:rFonts w:hAnsi="宋体" w:hint="eastAsia"/>
        </w:rPr>
        <w:t>（二十五）客户</w:t>
      </w:r>
      <w:r>
        <w:rPr>
          <w:rFonts w:hAnsi="宋体" w:cs="宋体" w:hint="eastAsia"/>
          <w:color w:val="000000"/>
        </w:rPr>
        <w:t>如使用合约标的除权、除息情形下因送股、转增等公司行为形成的无限售流通股作为备兑证券，如</w:t>
      </w:r>
      <w:r>
        <w:rPr>
          <w:rFonts w:hAnsi="宋体" w:hint="eastAsia"/>
          <w:color w:val="000000"/>
        </w:rPr>
        <w:t>行权结算时尚未上市的，将不可用于行权交割，不足部分</w:t>
      </w:r>
      <w:r>
        <w:rPr>
          <w:rFonts w:hAnsi="宋体" w:hint="eastAsia"/>
        </w:rPr>
        <w:t>客户</w:t>
      </w:r>
      <w:r>
        <w:rPr>
          <w:rFonts w:hAnsi="宋体" w:hint="eastAsia"/>
          <w:color w:val="000000"/>
        </w:rPr>
        <w:t>须及时补足，否则将面临合约标的行权交割不足的风险。</w:t>
      </w:r>
    </w:p>
    <w:p w:rsidR="00F96FB1" w:rsidRDefault="00D33884">
      <w:pPr>
        <w:adjustRightInd w:val="0"/>
        <w:snapToGrid w:val="0"/>
        <w:spacing w:line="360" w:lineRule="auto"/>
        <w:rPr>
          <w:rFonts w:hAnsi="宋体"/>
        </w:rPr>
      </w:pPr>
      <w:r>
        <w:rPr>
          <w:rFonts w:hAnsi="宋体" w:hint="eastAsia"/>
          <w:color w:val="000000"/>
        </w:rPr>
        <w:lastRenderedPageBreak/>
        <w:t>（二十六）</w:t>
      </w:r>
      <w:r>
        <w:rPr>
          <w:rFonts w:hAnsi="宋体" w:hint="eastAsia"/>
        </w:rPr>
        <w:t>客户在期权交易时，如果出现行权资金交收违约、行权证券交割不足的，结算参与人（期权经营机构）有权按照业务规则规定及期权经纪合同约定的标准向客户收取违约金等。</w:t>
      </w:r>
    </w:p>
    <w:p w:rsidR="00F96FB1" w:rsidRDefault="00D33884">
      <w:pPr>
        <w:adjustRightInd w:val="0"/>
        <w:snapToGrid w:val="0"/>
        <w:spacing w:line="360" w:lineRule="auto"/>
        <w:ind w:left="600" w:firstLineChars="0" w:firstLine="200"/>
        <w:rPr>
          <w:rFonts w:ascii="黑体" w:eastAsia="黑体" w:hAnsi="黑体"/>
          <w:b/>
        </w:rPr>
      </w:pPr>
      <w:r>
        <w:rPr>
          <w:rFonts w:ascii="黑体" w:eastAsia="黑体" w:hAnsi="黑体" w:hint="eastAsia"/>
          <w:b/>
        </w:rPr>
        <w:t>四、行权风险事项</w:t>
      </w:r>
    </w:p>
    <w:p w:rsidR="00F96FB1" w:rsidRDefault="00D33884">
      <w:pPr>
        <w:adjustRightInd w:val="0"/>
        <w:snapToGrid w:val="0"/>
        <w:spacing w:line="360" w:lineRule="auto"/>
        <w:rPr>
          <w:rFonts w:hAnsi="宋体"/>
        </w:rPr>
      </w:pPr>
      <w:r>
        <w:rPr>
          <w:rFonts w:hAnsi="宋体" w:hint="eastAsia"/>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rsidR="00F96FB1" w:rsidRDefault="00D33884">
      <w:pPr>
        <w:adjustRightInd w:val="0"/>
        <w:snapToGrid w:val="0"/>
        <w:spacing w:line="360" w:lineRule="auto"/>
        <w:rPr>
          <w:rFonts w:hAnsi="宋体"/>
        </w:rPr>
      </w:pPr>
      <w:r>
        <w:rPr>
          <w:rFonts w:hAnsi="宋体" w:hint="eastAsia"/>
        </w:rPr>
        <w:t>（二十八）客户应当熟悉期权行权的规则和程序，在期权交易行权时，期权合约数量、行权资金及合约标的不足将可能导致不足部分对应的行权为无效申报。</w:t>
      </w:r>
    </w:p>
    <w:p w:rsidR="00F96FB1" w:rsidRDefault="00D33884">
      <w:pPr>
        <w:adjustRightInd w:val="0"/>
        <w:snapToGrid w:val="0"/>
        <w:spacing w:line="360" w:lineRule="auto"/>
        <w:rPr>
          <w:rFonts w:hAnsi="宋体"/>
        </w:rPr>
      </w:pPr>
      <w:r>
        <w:rPr>
          <w:rFonts w:hAnsi="宋体" w:hint="eastAsia"/>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rsidR="00F96FB1" w:rsidRDefault="00D33884">
      <w:pPr>
        <w:adjustRightInd w:val="0"/>
        <w:snapToGrid w:val="0"/>
        <w:spacing w:line="360" w:lineRule="auto"/>
        <w:rPr>
          <w:rFonts w:hAnsi="宋体"/>
        </w:rPr>
      </w:pPr>
      <w:r>
        <w:rPr>
          <w:rFonts w:hAnsi="宋体" w:hint="eastAsia"/>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rsidR="00F96FB1" w:rsidRDefault="00D33884">
      <w:pPr>
        <w:adjustRightInd w:val="0"/>
        <w:snapToGrid w:val="0"/>
        <w:spacing w:line="360" w:lineRule="auto"/>
      </w:pPr>
      <w:r>
        <w:rPr>
          <w:rFonts w:hAnsi="宋体" w:hint="eastAsia"/>
        </w:rPr>
        <w:t>（三十一）</w:t>
      </w:r>
      <w:r>
        <w:rPr>
          <w:rFonts w:hint="eastAsia"/>
        </w:rPr>
        <w:t>如果到期日遇合约标的全天停牌或者盘中临时停</w:t>
      </w:r>
      <w:r>
        <w:rPr>
          <w:rFonts w:hint="eastAsia"/>
        </w:rPr>
        <w:lastRenderedPageBreak/>
        <w:t>牌的，则期权合约的交易同时停牌，但行权申报照常进行。无论合约标的是否在收盘前复牌，期权合约的最后交易日、到期日以及行权日都不作顺延。</w:t>
      </w:r>
    </w:p>
    <w:p w:rsidR="00F96FB1" w:rsidRDefault="00D33884">
      <w:pPr>
        <w:adjustRightInd w:val="0"/>
        <w:snapToGrid w:val="0"/>
        <w:spacing w:line="360" w:lineRule="auto"/>
      </w:pPr>
      <w:r>
        <w:rPr>
          <w:rFonts w:hint="eastAsia"/>
        </w:rPr>
        <w:t>（三十二）在期权合约的最后交易日，有可能因期权合约交易停牌而无法进行正常的开仓与平仓。</w:t>
      </w:r>
    </w:p>
    <w:p w:rsidR="00F96FB1" w:rsidRDefault="00D33884">
      <w:pPr>
        <w:adjustRightInd w:val="0"/>
        <w:snapToGrid w:val="0"/>
        <w:spacing w:line="360" w:lineRule="auto"/>
        <w:rPr>
          <w:rFonts w:hAnsi="宋体"/>
        </w:rPr>
      </w:pPr>
      <w:r>
        <w:rPr>
          <w:rFonts w:hint="eastAsia"/>
        </w:rPr>
        <w:t>（三十三）</w:t>
      </w:r>
      <w:r>
        <w:rPr>
          <w:rFonts w:hAnsi="宋体" w:hint="eastAsia"/>
        </w:rPr>
        <w:t>当合约标的发生暂停或终止上市，上交所有权将未平仓的期权合约提前至合约标的暂停或终止上市前最后交易日的前一交易日，期权合约于该日到期并行权。</w:t>
      </w:r>
    </w:p>
    <w:p w:rsidR="00F96FB1" w:rsidRDefault="00D33884">
      <w:pPr>
        <w:adjustRightInd w:val="0"/>
        <w:snapToGrid w:val="0"/>
        <w:spacing w:line="360" w:lineRule="auto"/>
        <w:rPr>
          <w:rFonts w:hAnsi="宋体"/>
        </w:rPr>
      </w:pPr>
      <w:r>
        <w:rPr>
          <w:rFonts w:hAnsi="宋体" w:hint="eastAsia"/>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rsidR="00F96FB1" w:rsidRDefault="00D33884">
      <w:pPr>
        <w:adjustRightInd w:val="0"/>
        <w:snapToGrid w:val="0"/>
        <w:spacing w:line="360" w:lineRule="auto"/>
        <w:ind w:firstLine="602"/>
        <w:rPr>
          <w:rFonts w:ascii="黑体" w:eastAsia="黑体" w:hAnsi="黑体"/>
          <w:b/>
        </w:rPr>
      </w:pPr>
      <w:r>
        <w:rPr>
          <w:rFonts w:ascii="黑体" w:eastAsia="黑体" w:hAnsi="黑体" w:hint="eastAsia"/>
          <w:b/>
        </w:rPr>
        <w:t>五、其他风险事项</w:t>
      </w:r>
    </w:p>
    <w:p w:rsidR="00F96FB1" w:rsidRDefault="00D33884">
      <w:pPr>
        <w:adjustRightInd w:val="0"/>
        <w:snapToGrid w:val="0"/>
        <w:spacing w:line="360" w:lineRule="auto"/>
        <w:rPr>
          <w:rFonts w:hAnsi="宋体"/>
        </w:rPr>
      </w:pPr>
      <w:r>
        <w:rPr>
          <w:rFonts w:hAnsi="宋体" w:hint="eastAsia"/>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rsidR="00F96FB1" w:rsidRDefault="00D33884">
      <w:pPr>
        <w:adjustRightInd w:val="0"/>
        <w:snapToGrid w:val="0"/>
        <w:spacing w:line="360" w:lineRule="auto"/>
        <w:rPr>
          <w:rFonts w:hAnsi="宋体"/>
        </w:rPr>
      </w:pPr>
      <w:r>
        <w:rPr>
          <w:rFonts w:hAnsi="宋体" w:hint="eastAsia"/>
        </w:rPr>
        <w:t>（三十六）因不可抗力、意外事件、技术故障或者重大差错等原因，导致上交所、中国结算</w:t>
      </w:r>
      <w:r>
        <w:rPr>
          <w:rFonts w:hint="eastAsia"/>
          <w:color w:val="000000"/>
        </w:rPr>
        <w:t>因不可抗力、意外事件、技术故障或者重大差错等原因，导致期权合约条款、结算价格、涨跌停价格、行权现金结算价格、保证金标准以及与期权交易相关的其</w:t>
      </w:r>
      <w:r>
        <w:rPr>
          <w:rFonts w:hint="eastAsia"/>
          <w:color w:val="000000"/>
        </w:rPr>
        <w:lastRenderedPageBreak/>
        <w:t>他重要数据发生错误时</w:t>
      </w:r>
      <w:r>
        <w:rPr>
          <w:rFonts w:hAnsi="宋体" w:hint="eastAsia"/>
        </w:rPr>
        <w:t>，上交所、中国结算可以决定对相关数据进行调整，并向市场公告。</w:t>
      </w:r>
    </w:p>
    <w:p w:rsidR="00F96FB1" w:rsidRDefault="00D33884">
      <w:pPr>
        <w:adjustRightInd w:val="0"/>
        <w:snapToGrid w:val="0"/>
        <w:spacing w:line="360" w:lineRule="auto"/>
        <w:rPr>
          <w:rFonts w:hAnsi="宋体"/>
        </w:rPr>
      </w:pPr>
      <w:r>
        <w:rPr>
          <w:rFonts w:hAnsi="宋体" w:hint="eastAsia"/>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rsidR="00F96FB1" w:rsidRDefault="00D33884">
      <w:pPr>
        <w:adjustRightInd w:val="0"/>
        <w:snapToGrid w:val="0"/>
        <w:spacing w:line="360" w:lineRule="auto"/>
        <w:rPr>
          <w:rFonts w:hAnsi="宋体"/>
        </w:rPr>
      </w:pPr>
      <w:r>
        <w:rPr>
          <w:rFonts w:hAnsi="宋体" w:hint="eastAsia"/>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rsidR="00F96FB1" w:rsidRDefault="00D33884">
      <w:pPr>
        <w:adjustRightInd w:val="0"/>
        <w:snapToGrid w:val="0"/>
        <w:spacing w:line="360" w:lineRule="auto"/>
        <w:rPr>
          <w:rFonts w:hAnsi="宋体"/>
        </w:rPr>
      </w:pPr>
      <w:r>
        <w:rPr>
          <w:rFonts w:hAnsi="宋体" w:hint="eastAsia"/>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rsidR="00F96FB1" w:rsidRDefault="00D33884">
      <w:pPr>
        <w:adjustRightInd w:val="0"/>
        <w:snapToGrid w:val="0"/>
        <w:spacing w:line="360" w:lineRule="auto"/>
        <w:rPr>
          <w:rFonts w:hAnsi="宋体"/>
        </w:rPr>
      </w:pPr>
      <w:r>
        <w:rPr>
          <w:rFonts w:hAnsi="宋体" w:hint="eastAsia"/>
        </w:rPr>
        <w:t>（四十）客户应当关注期权业务中面临的各种政策风险，以及由此可能造成的损失，包括但不限于因法律法规及政策变动须</w:t>
      </w:r>
      <w:r>
        <w:rPr>
          <w:rFonts w:hAnsi="宋体" w:hint="eastAsia"/>
        </w:rPr>
        <w:lastRenderedPageBreak/>
        <w:t>作出重大调整或者终止该业务。</w:t>
      </w:r>
    </w:p>
    <w:p w:rsidR="00F96FB1" w:rsidRDefault="00F96FB1">
      <w:pPr>
        <w:pStyle w:val="11"/>
        <w:adjustRightInd w:val="0"/>
        <w:snapToGrid w:val="0"/>
        <w:spacing w:line="360" w:lineRule="auto"/>
        <w:ind w:firstLineChars="225" w:firstLine="405"/>
        <w:jc w:val="left"/>
        <w:rPr>
          <w:i/>
          <w:color w:val="000000"/>
          <w:sz w:val="18"/>
          <w:szCs w:val="21"/>
          <w:highlight w:val="yellow"/>
        </w:rPr>
      </w:pPr>
    </w:p>
    <w:p w:rsidR="00F96FB1" w:rsidRDefault="00D33884">
      <w:pPr>
        <w:pStyle w:val="1"/>
        <w:ind w:firstLineChars="0" w:firstLine="0"/>
        <w:rPr>
          <w:sz w:val="36"/>
          <w:szCs w:val="36"/>
        </w:rPr>
      </w:pPr>
      <w:r>
        <w:rPr>
          <w:sz w:val="36"/>
          <w:szCs w:val="36"/>
        </w:rPr>
        <w:br w:type="page"/>
      </w:r>
      <w:bookmarkStart w:id="53" w:name="_Toc117606519"/>
      <w:r>
        <w:rPr>
          <w:sz w:val="36"/>
          <w:szCs w:val="36"/>
        </w:rPr>
        <w:lastRenderedPageBreak/>
        <w:t xml:space="preserve">VI. </w:t>
      </w:r>
      <w:r>
        <w:rPr>
          <w:rFonts w:hint="eastAsia"/>
          <w:sz w:val="36"/>
          <w:szCs w:val="36"/>
        </w:rPr>
        <w:t>其他</w:t>
      </w:r>
      <w:bookmarkEnd w:id="53"/>
    </w:p>
    <w:p w:rsidR="00F96FB1" w:rsidRDefault="00F96FB1">
      <w:pPr>
        <w:ind w:firstLine="480"/>
        <w:rPr>
          <w:sz w:val="24"/>
          <w:szCs w:val="24"/>
        </w:rPr>
      </w:pPr>
    </w:p>
    <w:p w:rsidR="00F96FB1" w:rsidRDefault="00D33884">
      <w:pPr>
        <w:pStyle w:val="2"/>
        <w:rPr>
          <w:sz w:val="36"/>
          <w:szCs w:val="36"/>
        </w:rPr>
      </w:pPr>
      <w:bookmarkStart w:id="54" w:name="_Toc117606520"/>
      <w:r>
        <w:rPr>
          <w:sz w:val="36"/>
          <w:szCs w:val="36"/>
        </w:rPr>
        <w:t xml:space="preserve">6.1 </w:t>
      </w:r>
      <w:r>
        <w:rPr>
          <w:rFonts w:hint="eastAsia"/>
          <w:sz w:val="36"/>
          <w:szCs w:val="36"/>
        </w:rPr>
        <w:t>上海证券交易所资产管理计划份额转让投资者风险揭示书必备条款</w:t>
      </w:r>
      <w:bookmarkEnd w:id="54"/>
    </w:p>
    <w:p w:rsidR="00F96FB1" w:rsidRDefault="00D33884" w:rsidP="009C5356">
      <w:pPr>
        <w:spacing w:line="360" w:lineRule="auto"/>
        <w:ind w:firstLineChars="189" w:firstLine="454"/>
        <w:jc w:val="center"/>
        <w:rPr>
          <w:sz w:val="24"/>
          <w:szCs w:val="24"/>
        </w:rPr>
      </w:pPr>
      <w:r>
        <w:rPr>
          <w:rFonts w:hint="eastAsia"/>
          <w:sz w:val="24"/>
          <w:szCs w:val="24"/>
        </w:rPr>
        <w:t>（</w:t>
      </w:r>
      <w:r>
        <w:rPr>
          <w:sz w:val="24"/>
          <w:szCs w:val="24"/>
        </w:rPr>
        <w:t>2014年4月4日发布）</w:t>
      </w:r>
    </w:p>
    <w:p w:rsidR="00F96FB1" w:rsidRDefault="00F96FB1">
      <w:pPr>
        <w:spacing w:line="360" w:lineRule="auto"/>
        <w:ind w:firstLine="480"/>
        <w:rPr>
          <w:sz w:val="24"/>
          <w:szCs w:val="24"/>
        </w:rPr>
      </w:pPr>
    </w:p>
    <w:p w:rsidR="00F96FB1" w:rsidRDefault="00D33884">
      <w:pPr>
        <w:spacing w:line="360" w:lineRule="auto"/>
      </w:pPr>
      <w:r>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rsidR="00F96FB1" w:rsidRDefault="00D33884">
      <w:pPr>
        <w:spacing w:line="360" w:lineRule="auto"/>
      </w:pPr>
      <w:r>
        <w:rPr>
          <w:rFonts w:hint="eastAsia"/>
        </w:rPr>
        <w:t>一、上交所为资产管理计划份额转让提供服务，不代表对资产管理计划的投资风险或收益做出判断或保证。</w:t>
      </w:r>
    </w:p>
    <w:p w:rsidR="00F96FB1" w:rsidRDefault="00D33884">
      <w:pPr>
        <w:spacing w:line="360" w:lineRule="auto"/>
      </w:pPr>
      <w:r>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rsidR="00F96FB1" w:rsidRDefault="00D33884">
      <w:pPr>
        <w:spacing w:line="360" w:lineRule="auto"/>
      </w:pPr>
      <w:r>
        <w:rPr>
          <w:rFonts w:hint="eastAsia"/>
        </w:rPr>
        <w:t>三、资产管理计划份额在上交所进行转让，并非集中竞价交易，可能不具有一个活跃的转让市场。上交所可以根据需要暂停或终止转让服务。</w:t>
      </w:r>
    </w:p>
    <w:p w:rsidR="00F96FB1" w:rsidRDefault="00D33884">
      <w:pPr>
        <w:spacing w:line="360" w:lineRule="auto"/>
      </w:pPr>
      <w:r>
        <w:rPr>
          <w:rFonts w:hint="eastAsia"/>
        </w:rPr>
        <w:t>四、资产管理计划份额转让后，如果份额持有人人数或者单个投资者持有的份额余额不再符合中国证监会及上交所的相关规定或者资产管理计划的约定的，可能导致已经确认的成交申报</w:t>
      </w:r>
      <w:r>
        <w:rPr>
          <w:rFonts w:hint="eastAsia"/>
        </w:rPr>
        <w:lastRenderedPageBreak/>
        <w:t>无效，相关法律责任及后果由资产管理机构及相关投资者自行承担。</w:t>
      </w:r>
    </w:p>
    <w:p w:rsidR="00F96FB1" w:rsidRDefault="00D33884">
      <w:pPr>
        <w:spacing w:line="360" w:lineRule="auto"/>
      </w:pPr>
      <w:r>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rsidR="00F96FB1" w:rsidRDefault="00D33884">
      <w:pPr>
        <w:spacing w:line="360" w:lineRule="auto"/>
        <w:ind w:firstLine="480"/>
        <w:rPr>
          <w:rFonts w:ascii="宋体" w:eastAsia="宋体" w:hAnsi="宋体"/>
          <w:b/>
          <w:sz w:val="36"/>
          <w:szCs w:val="36"/>
        </w:rPr>
      </w:pPr>
      <w:r>
        <w:rPr>
          <w:sz w:val="24"/>
          <w:szCs w:val="24"/>
        </w:rPr>
        <w:br w:type="page"/>
      </w:r>
    </w:p>
    <w:p w:rsidR="00F96FB1" w:rsidRDefault="00D33884">
      <w:pPr>
        <w:pStyle w:val="2"/>
        <w:rPr>
          <w:sz w:val="36"/>
          <w:szCs w:val="36"/>
        </w:rPr>
      </w:pPr>
      <w:bookmarkStart w:id="55" w:name="_Toc117606521"/>
      <w:r>
        <w:rPr>
          <w:sz w:val="36"/>
          <w:szCs w:val="36"/>
        </w:rPr>
        <w:lastRenderedPageBreak/>
        <w:t xml:space="preserve">6.2 </w:t>
      </w:r>
      <w:r>
        <w:rPr>
          <w:rFonts w:hint="eastAsia"/>
          <w:sz w:val="36"/>
          <w:szCs w:val="36"/>
        </w:rPr>
        <w:t>上海证券交易所信用保护工具投资者风险揭示书必备条款</w:t>
      </w:r>
      <w:bookmarkEnd w:id="55"/>
    </w:p>
    <w:p w:rsidR="00F96FB1" w:rsidRDefault="00D33884">
      <w:pPr>
        <w:spacing w:line="360" w:lineRule="auto"/>
        <w:ind w:firstLine="480"/>
        <w:jc w:val="center"/>
        <w:rPr>
          <w:sz w:val="24"/>
          <w:szCs w:val="24"/>
        </w:rPr>
      </w:pPr>
      <w:r>
        <w:rPr>
          <w:rFonts w:hint="eastAsia"/>
          <w:sz w:val="24"/>
          <w:szCs w:val="24"/>
        </w:rPr>
        <w:t>（</w:t>
      </w:r>
      <w:r>
        <w:rPr>
          <w:sz w:val="24"/>
          <w:szCs w:val="24"/>
        </w:rPr>
        <w:t>2021年7月19日修订）</w:t>
      </w:r>
    </w:p>
    <w:p w:rsidR="00F96FB1" w:rsidRDefault="00F96FB1">
      <w:pPr>
        <w:spacing w:line="360" w:lineRule="auto"/>
        <w:ind w:firstLine="480"/>
        <w:jc w:val="center"/>
        <w:rPr>
          <w:sz w:val="24"/>
          <w:szCs w:val="24"/>
        </w:rPr>
      </w:pPr>
    </w:p>
    <w:p w:rsidR="00F96FB1" w:rsidRDefault="00D33884">
      <w:pPr>
        <w:spacing w:line="360" w:lineRule="auto"/>
      </w:pPr>
      <w:r>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rsidR="00F96FB1" w:rsidRDefault="00D33884">
      <w:pPr>
        <w:spacing w:line="360" w:lineRule="auto"/>
      </w:pPr>
      <w:r>
        <w:rPr>
          <w:rFonts w:hint="eastAsia"/>
        </w:rPr>
        <w:t>《风险揭示书》至少应当包括下列内容：</w:t>
      </w:r>
    </w:p>
    <w:p w:rsidR="00F96FB1" w:rsidRDefault="00D33884">
      <w:pPr>
        <w:spacing w:line="360" w:lineRule="auto"/>
        <w:rPr>
          <w:rFonts w:ascii="Times New Roman"/>
        </w:rPr>
      </w:pPr>
      <w:r>
        <w:rPr>
          <w:rFonts w:ascii="Times New Roman" w:hint="eastAsia"/>
        </w:rPr>
        <w:t>一、信用保护工具具有市场风险、信用风险、杠杆风险、利益冲突风险、操作风险、政策风险等风险。</w:t>
      </w:r>
    </w:p>
    <w:p w:rsidR="00F96FB1" w:rsidRDefault="00D33884">
      <w:pPr>
        <w:spacing w:line="360" w:lineRule="auto"/>
        <w:rPr>
          <w:rFonts w:ascii="Times New Roman"/>
        </w:rPr>
      </w:pPr>
      <w:r>
        <w:rPr>
          <w:rFonts w:ascii="Times New Roman" w:hint="eastAsia"/>
        </w:rPr>
        <w:t>二、投资者应当根据自身财务状况、实际需求、风险识别和承受能力，慎重考虑是否适宜参与信用保护工具业务。</w:t>
      </w:r>
    </w:p>
    <w:p w:rsidR="00F96FB1" w:rsidRDefault="00D33884">
      <w:pPr>
        <w:spacing w:line="360" w:lineRule="auto"/>
        <w:rPr>
          <w:rFonts w:ascii="Times New Roman"/>
        </w:rPr>
      </w:pPr>
      <w:r>
        <w:rPr>
          <w:rFonts w:ascii="Times New Roman" w:hint="eastAsia"/>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rsidR="00F96FB1" w:rsidRDefault="00D33884">
      <w:pPr>
        <w:spacing w:line="360" w:lineRule="auto"/>
        <w:rPr>
          <w:rFonts w:ascii="Times New Roman"/>
        </w:rPr>
      </w:pPr>
      <w:r>
        <w:rPr>
          <w:rFonts w:ascii="Times New Roman" w:hint="eastAsia"/>
        </w:rPr>
        <w:t>四、信用保护工具交易中面临交易对手的信用风险，以及由此可能造成的损失，包括但不限于因交易对手违反相关法律法规、《中国证券期货市场衍生品交易主协议</w:t>
      </w:r>
      <w:r>
        <w:rPr>
          <w:rFonts w:ascii="Times New Roman"/>
        </w:rPr>
        <w:t>(</w:t>
      </w:r>
      <w:r>
        <w:rPr>
          <w:rFonts w:ascii="Times New Roman" w:hint="eastAsia"/>
        </w:rPr>
        <w:t>信用保护合约专用版</w:t>
      </w:r>
      <w:r>
        <w:rPr>
          <w:rFonts w:ascii="Times New Roman"/>
        </w:rPr>
        <w:t>)</w:t>
      </w:r>
      <w:r>
        <w:rPr>
          <w:rFonts w:ascii="Times New Roman" w:hint="eastAsia"/>
        </w:rPr>
        <w:t>》或其补充协议和信用保护工具交易的规定或约定，未按时提交结</w:t>
      </w:r>
      <w:r>
        <w:rPr>
          <w:rFonts w:ascii="Times New Roman" w:hint="eastAsia"/>
        </w:rPr>
        <w:lastRenderedPageBreak/>
        <w:t>算指令、相关账户的资金和可交付债务不足等情形，导致信用保护工具交易无法达成或交收失败以及信用保护合约存续期间内信用保护买方未按期支付约定保费等违约后果。</w:t>
      </w:r>
    </w:p>
    <w:p w:rsidR="00F96FB1" w:rsidRDefault="00D33884">
      <w:pPr>
        <w:spacing w:line="360" w:lineRule="auto"/>
        <w:rPr>
          <w:rFonts w:ascii="Times New Roman"/>
        </w:rPr>
      </w:pPr>
      <w:r>
        <w:rPr>
          <w:rFonts w:ascii="Times New Roman" w:hint="eastAsia"/>
        </w:rPr>
        <w:t>五、信用保护工具具有较高的杠杆性。当触发信用事件后，信用保护工具卖方面临赔付较多的资金的风险。在极端情况下，信用保护工具的名义本金可能超过信用保护工具卖方的净资产以及风险承受能力。</w:t>
      </w:r>
    </w:p>
    <w:p w:rsidR="00F96FB1" w:rsidRDefault="00D33884">
      <w:pPr>
        <w:spacing w:line="360" w:lineRule="auto"/>
        <w:rPr>
          <w:rFonts w:ascii="Times New Roman"/>
        </w:rPr>
      </w:pPr>
      <w:r>
        <w:rPr>
          <w:rFonts w:ascii="Times New Roman" w:hint="eastAsia"/>
        </w:rPr>
        <w:t>六、信用保护工具参与者可能出现未按规定和约定进行交易申报和结算申报，交易要素填报错误、资金划付、通知与送达异常、证券公司或结算代理人未履行职责等原因导致的操作风险。</w:t>
      </w:r>
    </w:p>
    <w:p w:rsidR="00F96FB1" w:rsidRDefault="00D33884">
      <w:pPr>
        <w:spacing w:line="360" w:lineRule="auto"/>
        <w:rPr>
          <w:rFonts w:ascii="Times New Roman"/>
        </w:rPr>
      </w:pPr>
      <w:r>
        <w:rPr>
          <w:rFonts w:ascii="Times New Roman" w:hint="eastAsia"/>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rsidR="00F96FB1" w:rsidRDefault="00D33884">
      <w:pPr>
        <w:spacing w:line="360" w:lineRule="auto"/>
        <w:rPr>
          <w:rFonts w:ascii="Times New Roman"/>
        </w:rPr>
      </w:pPr>
      <w:r>
        <w:rPr>
          <w:rFonts w:ascii="Times New Roman" w:hint="eastAsia"/>
        </w:rPr>
        <w:t>八、在信用保护工具中，证券公司既可以是信用保护工具对手方，又可根据委托人的要求办理交易指令申报以及其他与信用保护工具有关的事项，可能存在利益冲突的风险。</w:t>
      </w:r>
    </w:p>
    <w:p w:rsidR="00F96FB1" w:rsidRDefault="00D33884">
      <w:pPr>
        <w:spacing w:line="360" w:lineRule="auto"/>
        <w:rPr>
          <w:rFonts w:ascii="Times New Roman"/>
        </w:rPr>
      </w:pPr>
      <w:r>
        <w:rPr>
          <w:rFonts w:ascii="Times New Roman" w:hint="eastAsia"/>
        </w:rPr>
        <w:t>九、由于国家法律、法规、政策、本所和登记结算机构规则的变化、修改等原因，可能会对信用保护工具参与者的交易、履约、存续期间相关权利的要求与义务的履行产生不利影响或经济损失。</w:t>
      </w:r>
    </w:p>
    <w:p w:rsidR="00F96FB1" w:rsidRDefault="00D33884">
      <w:pPr>
        <w:spacing w:line="360" w:lineRule="auto"/>
        <w:rPr>
          <w:rFonts w:ascii="Times New Roman"/>
        </w:rPr>
      </w:pPr>
      <w:r>
        <w:rPr>
          <w:rFonts w:ascii="Times New Roman" w:hint="eastAsia"/>
        </w:rPr>
        <w:t>十、在信用保护工具的存续期间，如果因出现火灾、地震、</w:t>
      </w:r>
      <w:r>
        <w:rPr>
          <w:rFonts w:ascii="Times New Roman" w:hint="eastAsia"/>
        </w:rPr>
        <w:lastRenderedPageBreak/>
        <w:t>瘟疫、社会动乱等不能预见、避免或克服的不可抗力情形，可能会给信用保护工具参与者造成经济损失。</w:t>
      </w:r>
    </w:p>
    <w:p w:rsidR="00F96FB1" w:rsidRDefault="00D33884">
      <w:pPr>
        <w:spacing w:line="360" w:lineRule="auto"/>
        <w:jc w:val="left"/>
        <w:rPr>
          <w:rFonts w:hAnsi="Cambria"/>
          <w:color w:val="000000"/>
        </w:rPr>
      </w:pPr>
      <w:r>
        <w:rPr>
          <w:rFonts w:ascii="Times New Roman" w:hint="eastAsia"/>
        </w:rPr>
        <w:t>十一、可能因为证券公司、证券交易所或者登记结算机构等的系统故障或者差错而影响交易的正常进行或者导致经纪客户的利益受到影响。</w:t>
      </w:r>
    </w:p>
    <w:p w:rsidR="00F96FB1" w:rsidRDefault="00F96FB1">
      <w:pPr>
        <w:ind w:firstLine="480"/>
        <w:rPr>
          <w:sz w:val="24"/>
          <w:szCs w:val="24"/>
        </w:rPr>
      </w:pPr>
    </w:p>
    <w:p w:rsidR="00F96FB1" w:rsidRDefault="00F96FB1">
      <w:pPr>
        <w:ind w:firstLine="480"/>
        <w:rPr>
          <w:sz w:val="24"/>
          <w:szCs w:val="24"/>
        </w:rPr>
      </w:pPr>
    </w:p>
    <w:p w:rsidR="00F96FB1" w:rsidRDefault="00F96FB1">
      <w:pPr>
        <w:ind w:firstLine="480"/>
        <w:rPr>
          <w:sz w:val="24"/>
          <w:szCs w:val="24"/>
        </w:rPr>
      </w:pPr>
    </w:p>
    <w:p w:rsidR="00F96FB1" w:rsidRDefault="00F96FB1"/>
    <w:sectPr w:rsidR="00F96FB1" w:rsidSect="00F96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32" w:rsidRDefault="00556232">
      <w:pPr>
        <w:spacing w:line="240" w:lineRule="auto"/>
      </w:pPr>
      <w:r>
        <w:separator/>
      </w:r>
    </w:p>
  </w:endnote>
  <w:endnote w:type="continuationSeparator" w:id="0">
    <w:p w:rsidR="00556232" w:rsidRDefault="005562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6F" w:rsidRDefault="0057776F">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sz w:val="24"/>
        <w:szCs w:val="24"/>
      </w:rPr>
      <w:id w:val="136373139"/>
    </w:sdtPr>
    <w:sdtContent>
      <w:p w:rsidR="0057776F" w:rsidRDefault="00FF0931">
        <w:pPr>
          <w:pStyle w:val="a7"/>
          <w:ind w:firstLine="480"/>
          <w:jc w:val="center"/>
          <w:rPr>
            <w:rFonts w:ascii="Times New Roman"/>
            <w:sz w:val="24"/>
            <w:szCs w:val="24"/>
          </w:rPr>
        </w:pPr>
        <w:r>
          <w:rPr>
            <w:rFonts w:ascii="Times New Roman"/>
            <w:sz w:val="24"/>
            <w:szCs w:val="24"/>
          </w:rPr>
          <w:fldChar w:fldCharType="begin"/>
        </w:r>
        <w:r w:rsidR="0057776F">
          <w:rPr>
            <w:rFonts w:ascii="Times New Roman"/>
            <w:sz w:val="24"/>
            <w:szCs w:val="24"/>
          </w:rPr>
          <w:instrText xml:space="preserve"> PAGE   \* MERGEFORMAT </w:instrText>
        </w:r>
        <w:r>
          <w:rPr>
            <w:rFonts w:ascii="Times New Roman"/>
            <w:sz w:val="24"/>
            <w:szCs w:val="24"/>
          </w:rPr>
          <w:fldChar w:fldCharType="separate"/>
        </w:r>
        <w:r w:rsidR="0083238C" w:rsidRPr="0083238C">
          <w:rPr>
            <w:rFonts w:ascii="Times New Roman"/>
            <w:noProof/>
            <w:sz w:val="24"/>
            <w:szCs w:val="24"/>
            <w:lang w:val="zh-CN"/>
          </w:rPr>
          <w:t>1</w:t>
        </w:r>
        <w:r>
          <w:rPr>
            <w:rFonts w:ascii="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6F" w:rsidRDefault="0057776F">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32" w:rsidRDefault="00556232">
      <w:pPr>
        <w:spacing w:line="240" w:lineRule="auto"/>
      </w:pPr>
      <w:r>
        <w:separator/>
      </w:r>
    </w:p>
  </w:footnote>
  <w:footnote w:type="continuationSeparator" w:id="0">
    <w:p w:rsidR="00556232" w:rsidRDefault="005562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6F" w:rsidRDefault="0057776F">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6F" w:rsidRDefault="0057776F">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6F" w:rsidRDefault="0057776F">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8E2CCF"/>
    <w:multiLevelType w:val="singleLevel"/>
    <w:tmpl w:val="BD8E2CCF"/>
    <w:lvl w:ilvl="0">
      <w:start w:val="19"/>
      <w:numFmt w:val="chineseCounting"/>
      <w:suff w:val="nothing"/>
      <w:lvlText w:val="%1、"/>
      <w:lvlJc w:val="left"/>
      <w:rPr>
        <w:rFonts w:hint="eastAsia"/>
      </w:rPr>
    </w:lvl>
  </w:abstractNum>
  <w:abstractNum w:abstractNumId="1">
    <w:nsid w:val="13B2D5A2"/>
    <w:multiLevelType w:val="singleLevel"/>
    <w:tmpl w:val="13B2D5A2"/>
    <w:lvl w:ilvl="0">
      <w:start w:val="6"/>
      <w:numFmt w:val="chineseCounting"/>
      <w:suff w:val="nothing"/>
      <w:lvlText w:val="%1、"/>
      <w:lvlJc w:val="left"/>
      <w:rPr>
        <w:rFonts w:hint="eastAsia"/>
        <w:b w:val="0"/>
        <w:bCs w:val="0"/>
      </w:rPr>
    </w:lvl>
  </w:abstractNum>
  <w:abstractNum w:abstractNumId="2">
    <w:nsid w:val="1DEEB3FD"/>
    <w:multiLevelType w:val="singleLevel"/>
    <w:tmpl w:val="1DEEB3FD"/>
    <w:lvl w:ilvl="0">
      <w:start w:val="1"/>
      <w:numFmt w:val="decimal"/>
      <w:suff w:val="space"/>
      <w:lvlText w:val="%1."/>
      <w:lvlJc w:val="left"/>
    </w:lvl>
  </w:abstractNum>
  <w:abstractNum w:abstractNumId="3">
    <w:nsid w:val="239CE693"/>
    <w:multiLevelType w:val="singleLevel"/>
    <w:tmpl w:val="239CE693"/>
    <w:lvl w:ilvl="0">
      <w:start w:val="7"/>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c4NmQwZGFkMDBjOTJlMzJkYjNiMzQ3MWZmZWQ5MTMifQ=="/>
  </w:docVars>
  <w:rsids>
    <w:rsidRoot w:val="0020030F"/>
    <w:rsid w:val="000041FD"/>
    <w:rsid w:val="00005054"/>
    <w:rsid w:val="00011512"/>
    <w:rsid w:val="00014171"/>
    <w:rsid w:val="000347E0"/>
    <w:rsid w:val="00057951"/>
    <w:rsid w:val="000728E8"/>
    <w:rsid w:val="00084BF7"/>
    <w:rsid w:val="000A3663"/>
    <w:rsid w:val="000A6BC5"/>
    <w:rsid w:val="000B79CE"/>
    <w:rsid w:val="000C68A2"/>
    <w:rsid w:val="000E6B91"/>
    <w:rsid w:val="001016C1"/>
    <w:rsid w:val="001048E3"/>
    <w:rsid w:val="00130D78"/>
    <w:rsid w:val="00135A8A"/>
    <w:rsid w:val="00137E41"/>
    <w:rsid w:val="00172310"/>
    <w:rsid w:val="001726DD"/>
    <w:rsid w:val="001844D3"/>
    <w:rsid w:val="0019280D"/>
    <w:rsid w:val="00197DDB"/>
    <w:rsid w:val="001C6EFC"/>
    <w:rsid w:val="001D0226"/>
    <w:rsid w:val="001E3E78"/>
    <w:rsid w:val="001F75B3"/>
    <w:rsid w:val="0020030F"/>
    <w:rsid w:val="00233162"/>
    <w:rsid w:val="00257990"/>
    <w:rsid w:val="002779CF"/>
    <w:rsid w:val="002B765C"/>
    <w:rsid w:val="002C31A1"/>
    <w:rsid w:val="002C513C"/>
    <w:rsid w:val="002D0560"/>
    <w:rsid w:val="002E7BE5"/>
    <w:rsid w:val="002F0C94"/>
    <w:rsid w:val="002F44F5"/>
    <w:rsid w:val="00350C01"/>
    <w:rsid w:val="003809AB"/>
    <w:rsid w:val="003B6923"/>
    <w:rsid w:val="003E0B32"/>
    <w:rsid w:val="003F7A8B"/>
    <w:rsid w:val="00411B67"/>
    <w:rsid w:val="0043232F"/>
    <w:rsid w:val="004514C2"/>
    <w:rsid w:val="00461B28"/>
    <w:rsid w:val="00464BFE"/>
    <w:rsid w:val="00464EC4"/>
    <w:rsid w:val="004655E5"/>
    <w:rsid w:val="0047046E"/>
    <w:rsid w:val="00471884"/>
    <w:rsid w:val="00493E4B"/>
    <w:rsid w:val="004A2A6A"/>
    <w:rsid w:val="004C1270"/>
    <w:rsid w:val="004C7C8F"/>
    <w:rsid w:val="004E1470"/>
    <w:rsid w:val="004F576B"/>
    <w:rsid w:val="00506F97"/>
    <w:rsid w:val="00520DB0"/>
    <w:rsid w:val="00523B6A"/>
    <w:rsid w:val="0054779E"/>
    <w:rsid w:val="00556232"/>
    <w:rsid w:val="0057776F"/>
    <w:rsid w:val="00591141"/>
    <w:rsid w:val="005B17CA"/>
    <w:rsid w:val="005C168E"/>
    <w:rsid w:val="005D2F2C"/>
    <w:rsid w:val="005D4CB4"/>
    <w:rsid w:val="005D66AA"/>
    <w:rsid w:val="005F0E82"/>
    <w:rsid w:val="005F46C7"/>
    <w:rsid w:val="006256B4"/>
    <w:rsid w:val="006272D8"/>
    <w:rsid w:val="006564F4"/>
    <w:rsid w:val="00656F18"/>
    <w:rsid w:val="006818D1"/>
    <w:rsid w:val="00695F35"/>
    <w:rsid w:val="006B0697"/>
    <w:rsid w:val="006B1A0E"/>
    <w:rsid w:val="006D167C"/>
    <w:rsid w:val="006D6C0C"/>
    <w:rsid w:val="006F24C0"/>
    <w:rsid w:val="00703280"/>
    <w:rsid w:val="0070524A"/>
    <w:rsid w:val="00722C70"/>
    <w:rsid w:val="00751EBB"/>
    <w:rsid w:val="00752ABE"/>
    <w:rsid w:val="0076680E"/>
    <w:rsid w:val="0077236D"/>
    <w:rsid w:val="007B05DE"/>
    <w:rsid w:val="007C7FD2"/>
    <w:rsid w:val="007D67F5"/>
    <w:rsid w:val="007D6947"/>
    <w:rsid w:val="0080604A"/>
    <w:rsid w:val="0083238C"/>
    <w:rsid w:val="008361C2"/>
    <w:rsid w:val="0087451A"/>
    <w:rsid w:val="00875900"/>
    <w:rsid w:val="00880E33"/>
    <w:rsid w:val="0088741E"/>
    <w:rsid w:val="008B240C"/>
    <w:rsid w:val="008B3CE7"/>
    <w:rsid w:val="008B50C9"/>
    <w:rsid w:val="008C5686"/>
    <w:rsid w:val="008D453B"/>
    <w:rsid w:val="008D5462"/>
    <w:rsid w:val="008E0482"/>
    <w:rsid w:val="008E6468"/>
    <w:rsid w:val="008F4BEB"/>
    <w:rsid w:val="00902802"/>
    <w:rsid w:val="00905B63"/>
    <w:rsid w:val="0092071E"/>
    <w:rsid w:val="00973559"/>
    <w:rsid w:val="009748C3"/>
    <w:rsid w:val="00984412"/>
    <w:rsid w:val="009A3600"/>
    <w:rsid w:val="009A4B79"/>
    <w:rsid w:val="009B0677"/>
    <w:rsid w:val="009B54D1"/>
    <w:rsid w:val="009C5356"/>
    <w:rsid w:val="00A275E5"/>
    <w:rsid w:val="00A31319"/>
    <w:rsid w:val="00A3536D"/>
    <w:rsid w:val="00A716E5"/>
    <w:rsid w:val="00A97BF3"/>
    <w:rsid w:val="00AA767A"/>
    <w:rsid w:val="00AB3858"/>
    <w:rsid w:val="00AB43AD"/>
    <w:rsid w:val="00AC14E4"/>
    <w:rsid w:val="00AF6198"/>
    <w:rsid w:val="00B04CFE"/>
    <w:rsid w:val="00B27191"/>
    <w:rsid w:val="00B37D49"/>
    <w:rsid w:val="00B46C16"/>
    <w:rsid w:val="00B474CA"/>
    <w:rsid w:val="00B47C68"/>
    <w:rsid w:val="00B569C4"/>
    <w:rsid w:val="00B87679"/>
    <w:rsid w:val="00BA10C2"/>
    <w:rsid w:val="00BC7494"/>
    <w:rsid w:val="00BE4535"/>
    <w:rsid w:val="00C26920"/>
    <w:rsid w:val="00C31135"/>
    <w:rsid w:val="00C41C34"/>
    <w:rsid w:val="00C8099F"/>
    <w:rsid w:val="00CA69EB"/>
    <w:rsid w:val="00CB1525"/>
    <w:rsid w:val="00D03B66"/>
    <w:rsid w:val="00D04D45"/>
    <w:rsid w:val="00D309DF"/>
    <w:rsid w:val="00D33884"/>
    <w:rsid w:val="00D3429D"/>
    <w:rsid w:val="00D4290D"/>
    <w:rsid w:val="00D45240"/>
    <w:rsid w:val="00DC607D"/>
    <w:rsid w:val="00DD1C4C"/>
    <w:rsid w:val="00DD2E41"/>
    <w:rsid w:val="00DD6965"/>
    <w:rsid w:val="00DE225D"/>
    <w:rsid w:val="00DE5C2B"/>
    <w:rsid w:val="00E01607"/>
    <w:rsid w:val="00E11CB2"/>
    <w:rsid w:val="00E32B05"/>
    <w:rsid w:val="00E45690"/>
    <w:rsid w:val="00EC0F7C"/>
    <w:rsid w:val="00EC160F"/>
    <w:rsid w:val="00EC2DEA"/>
    <w:rsid w:val="00EC672C"/>
    <w:rsid w:val="00EC7C7A"/>
    <w:rsid w:val="00EF4C72"/>
    <w:rsid w:val="00EF5AEE"/>
    <w:rsid w:val="00F00D83"/>
    <w:rsid w:val="00F04452"/>
    <w:rsid w:val="00F16DB3"/>
    <w:rsid w:val="00F24389"/>
    <w:rsid w:val="00F52183"/>
    <w:rsid w:val="00F6018E"/>
    <w:rsid w:val="00F90E31"/>
    <w:rsid w:val="00F96FB1"/>
    <w:rsid w:val="00FC0E49"/>
    <w:rsid w:val="00FF0931"/>
    <w:rsid w:val="00FF6910"/>
    <w:rsid w:val="00FF788D"/>
    <w:rsid w:val="024B2B7F"/>
    <w:rsid w:val="038227F3"/>
    <w:rsid w:val="04A75E2A"/>
    <w:rsid w:val="05AF5481"/>
    <w:rsid w:val="08E301C3"/>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B76065"/>
    <w:rsid w:val="1BF6757A"/>
    <w:rsid w:val="1CAF1C4C"/>
    <w:rsid w:val="1D0B4808"/>
    <w:rsid w:val="21605449"/>
    <w:rsid w:val="2250755E"/>
    <w:rsid w:val="228933AF"/>
    <w:rsid w:val="23112D59"/>
    <w:rsid w:val="23281ED0"/>
    <w:rsid w:val="23F2113C"/>
    <w:rsid w:val="24223697"/>
    <w:rsid w:val="242446F7"/>
    <w:rsid w:val="27604D4E"/>
    <w:rsid w:val="27B04DEA"/>
    <w:rsid w:val="28461C4E"/>
    <w:rsid w:val="2B037840"/>
    <w:rsid w:val="2B0B6D96"/>
    <w:rsid w:val="2DFB0584"/>
    <w:rsid w:val="2F7D2BA5"/>
    <w:rsid w:val="30925F78"/>
    <w:rsid w:val="30B34841"/>
    <w:rsid w:val="317815B6"/>
    <w:rsid w:val="3193101D"/>
    <w:rsid w:val="32F57F12"/>
    <w:rsid w:val="33BE6CC7"/>
    <w:rsid w:val="36DD3F04"/>
    <w:rsid w:val="388827E2"/>
    <w:rsid w:val="39634B4F"/>
    <w:rsid w:val="3A482B4F"/>
    <w:rsid w:val="3AF3718B"/>
    <w:rsid w:val="3AF83DF8"/>
    <w:rsid w:val="3B600268"/>
    <w:rsid w:val="3B92108C"/>
    <w:rsid w:val="3BA620BD"/>
    <w:rsid w:val="3C4476BC"/>
    <w:rsid w:val="3DF948B3"/>
    <w:rsid w:val="3E4C75E0"/>
    <w:rsid w:val="3F2562C6"/>
    <w:rsid w:val="3F4B2782"/>
    <w:rsid w:val="409F17DF"/>
    <w:rsid w:val="41800CEF"/>
    <w:rsid w:val="42DB1128"/>
    <w:rsid w:val="435467E4"/>
    <w:rsid w:val="43664FB1"/>
    <w:rsid w:val="43EA36AC"/>
    <w:rsid w:val="451A371F"/>
    <w:rsid w:val="453713F4"/>
    <w:rsid w:val="471C0F51"/>
    <w:rsid w:val="47482C2B"/>
    <w:rsid w:val="47DC065B"/>
    <w:rsid w:val="48146033"/>
    <w:rsid w:val="489B7D1E"/>
    <w:rsid w:val="48EE52BD"/>
    <w:rsid w:val="48FC223C"/>
    <w:rsid w:val="4A3E06B0"/>
    <w:rsid w:val="4AB55243"/>
    <w:rsid w:val="4BA25767"/>
    <w:rsid w:val="4BB468E4"/>
    <w:rsid w:val="4BB87DAC"/>
    <w:rsid w:val="4BEE26A8"/>
    <w:rsid w:val="4BFA091D"/>
    <w:rsid w:val="4D9B38D9"/>
    <w:rsid w:val="4FF3391E"/>
    <w:rsid w:val="51821548"/>
    <w:rsid w:val="51DA69D7"/>
    <w:rsid w:val="52E80ECE"/>
    <w:rsid w:val="54F94B3F"/>
    <w:rsid w:val="568679B6"/>
    <w:rsid w:val="587C1045"/>
    <w:rsid w:val="590B21F0"/>
    <w:rsid w:val="59362C0D"/>
    <w:rsid w:val="5AA92593"/>
    <w:rsid w:val="5C7973F1"/>
    <w:rsid w:val="5C9C13FB"/>
    <w:rsid w:val="5D584689"/>
    <w:rsid w:val="5DBA3002"/>
    <w:rsid w:val="5E732D23"/>
    <w:rsid w:val="5FF90EBC"/>
    <w:rsid w:val="600E53D4"/>
    <w:rsid w:val="617330CB"/>
    <w:rsid w:val="61AA3A18"/>
    <w:rsid w:val="627B3C34"/>
    <w:rsid w:val="66797D65"/>
    <w:rsid w:val="66C21E23"/>
    <w:rsid w:val="67691544"/>
    <w:rsid w:val="6A1C6E9D"/>
    <w:rsid w:val="6B8B015F"/>
    <w:rsid w:val="6D2122B6"/>
    <w:rsid w:val="6F0777FA"/>
    <w:rsid w:val="6F0B79A7"/>
    <w:rsid w:val="6F354038"/>
    <w:rsid w:val="705D0506"/>
    <w:rsid w:val="706A3131"/>
    <w:rsid w:val="719D09D7"/>
    <w:rsid w:val="71EA4B5C"/>
    <w:rsid w:val="72863E30"/>
    <w:rsid w:val="732143E8"/>
    <w:rsid w:val="740355EC"/>
    <w:rsid w:val="749F4E8A"/>
    <w:rsid w:val="75BE6475"/>
    <w:rsid w:val="75E202B8"/>
    <w:rsid w:val="76A235E1"/>
    <w:rsid w:val="78A44B9B"/>
    <w:rsid w:val="7AB50152"/>
    <w:rsid w:val="7BD5688B"/>
    <w:rsid w:val="7BFD457F"/>
    <w:rsid w:val="7C6227C0"/>
    <w:rsid w:val="7D8B3141"/>
    <w:rsid w:val="7FD56134"/>
    <w:rsid w:val="7FE93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96FB1"/>
    <w:pPr>
      <w:widowControl w:val="0"/>
      <w:spacing w:line="600" w:lineRule="exact"/>
      <w:ind w:firstLineChars="200" w:firstLine="600"/>
      <w:jc w:val="both"/>
    </w:pPr>
    <w:rPr>
      <w:rFonts w:ascii="仿宋_GB2312" w:eastAsia="仿宋_GB2312" w:hAnsi="Times New Roman" w:cs="Times New Roman"/>
      <w:sz w:val="30"/>
      <w:szCs w:val="30"/>
    </w:rPr>
  </w:style>
  <w:style w:type="paragraph" w:styleId="1">
    <w:name w:val="heading 1"/>
    <w:basedOn w:val="a"/>
    <w:next w:val="a"/>
    <w:link w:val="1Char"/>
    <w:uiPriority w:val="9"/>
    <w:qFormat/>
    <w:rsid w:val="00F96FB1"/>
    <w:pPr>
      <w:spacing w:line="360" w:lineRule="auto"/>
      <w:ind w:firstLine="883"/>
      <w:jc w:val="center"/>
      <w:outlineLvl w:val="0"/>
    </w:pPr>
    <w:rPr>
      <w:rFonts w:ascii="宋体" w:eastAsia="宋体" w:hAnsi="宋体"/>
      <w:b/>
      <w:sz w:val="44"/>
      <w:szCs w:val="42"/>
    </w:rPr>
  </w:style>
  <w:style w:type="paragraph" w:styleId="2">
    <w:name w:val="heading 2"/>
    <w:basedOn w:val="1"/>
    <w:next w:val="a"/>
    <w:link w:val="2Char"/>
    <w:uiPriority w:val="9"/>
    <w:unhideWhenUsed/>
    <w:qFormat/>
    <w:rsid w:val="00F96FB1"/>
    <w:pPr>
      <w:ind w:firstLineChars="0" w:firstLine="0"/>
      <w:outlineLvl w:val="1"/>
    </w:pPr>
    <w:rPr>
      <w:sz w:val="42"/>
    </w:rPr>
  </w:style>
  <w:style w:type="paragraph" w:styleId="5">
    <w:name w:val="heading 5"/>
    <w:basedOn w:val="a"/>
    <w:next w:val="a"/>
    <w:link w:val="5Char"/>
    <w:semiHidden/>
    <w:unhideWhenUsed/>
    <w:qFormat/>
    <w:rsid w:val="00F96FB1"/>
    <w:pPr>
      <w:keepNext/>
      <w:keepLines/>
      <w:spacing w:before="280" w:after="290" w:line="372" w:lineRule="auto"/>
      <w:ind w:firstLineChars="0" w:firstLine="0"/>
      <w:outlineLvl w:val="4"/>
    </w:pPr>
    <w:rPr>
      <w:rFonts w:ascii="Times New Roman" w:eastAsia="宋体"/>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F96FB1"/>
    <w:pPr>
      <w:ind w:firstLine="420"/>
    </w:pPr>
  </w:style>
  <w:style w:type="paragraph" w:styleId="a4">
    <w:name w:val="annotation text"/>
    <w:basedOn w:val="a"/>
    <w:link w:val="Char"/>
    <w:unhideWhenUsed/>
    <w:qFormat/>
    <w:rsid w:val="00F96FB1"/>
    <w:pPr>
      <w:jc w:val="left"/>
    </w:pPr>
  </w:style>
  <w:style w:type="paragraph" w:styleId="a5">
    <w:name w:val="Plain Text"/>
    <w:basedOn w:val="a"/>
    <w:link w:val="Char0"/>
    <w:semiHidden/>
    <w:unhideWhenUsed/>
    <w:qFormat/>
    <w:rsid w:val="00F96FB1"/>
    <w:rPr>
      <w:rFonts w:ascii="宋体" w:eastAsia="宋体" w:hAnsi="Courier New"/>
      <w:szCs w:val="20"/>
    </w:rPr>
  </w:style>
  <w:style w:type="paragraph" w:styleId="a6">
    <w:name w:val="Balloon Text"/>
    <w:basedOn w:val="a"/>
    <w:link w:val="Char1"/>
    <w:uiPriority w:val="99"/>
    <w:semiHidden/>
    <w:unhideWhenUsed/>
    <w:qFormat/>
    <w:rsid w:val="00F96FB1"/>
    <w:pPr>
      <w:spacing w:line="240" w:lineRule="auto"/>
    </w:pPr>
    <w:rPr>
      <w:sz w:val="18"/>
      <w:szCs w:val="18"/>
    </w:rPr>
  </w:style>
  <w:style w:type="paragraph" w:styleId="a7">
    <w:name w:val="footer"/>
    <w:basedOn w:val="a"/>
    <w:link w:val="Char2"/>
    <w:uiPriority w:val="99"/>
    <w:unhideWhenUsed/>
    <w:qFormat/>
    <w:rsid w:val="00F96FB1"/>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F96F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96FB1"/>
    <w:pPr>
      <w:tabs>
        <w:tab w:val="right" w:leader="dot" w:pos="8296"/>
      </w:tabs>
      <w:spacing w:beforeLines="50" w:line="276" w:lineRule="auto"/>
      <w:ind w:firstLineChars="0" w:firstLine="0"/>
      <w:jc w:val="center"/>
    </w:pPr>
    <w:rPr>
      <w:rFonts w:ascii="黑体" w:eastAsia="黑体" w:hAnsi="黑体"/>
      <w:b/>
      <w:sz w:val="24"/>
      <w:szCs w:val="24"/>
    </w:rPr>
  </w:style>
  <w:style w:type="paragraph" w:styleId="20">
    <w:name w:val="toc 2"/>
    <w:basedOn w:val="a"/>
    <w:next w:val="a"/>
    <w:uiPriority w:val="39"/>
    <w:unhideWhenUsed/>
    <w:qFormat/>
    <w:rsid w:val="00F96FB1"/>
    <w:pPr>
      <w:tabs>
        <w:tab w:val="right" w:leader="dot" w:pos="8296"/>
      </w:tabs>
      <w:spacing w:line="276" w:lineRule="auto"/>
      <w:ind w:left="567" w:hangingChars="189" w:hanging="567"/>
    </w:pPr>
  </w:style>
  <w:style w:type="paragraph" w:styleId="a9">
    <w:name w:val="Title"/>
    <w:basedOn w:val="a"/>
    <w:next w:val="a"/>
    <w:link w:val="Char10"/>
    <w:qFormat/>
    <w:rsid w:val="00F96FB1"/>
    <w:pPr>
      <w:spacing w:before="240" w:after="60" w:line="240" w:lineRule="auto"/>
      <w:ind w:firstLineChars="0" w:firstLine="0"/>
      <w:jc w:val="center"/>
      <w:outlineLvl w:val="0"/>
    </w:pPr>
    <w:rPr>
      <w:rFonts w:ascii="Cambria" w:eastAsia="黑体" w:hAnsi="Cambria" w:cstheme="minorBidi"/>
      <w:b/>
      <w:bCs/>
      <w:kern w:val="2"/>
      <w:sz w:val="32"/>
      <w:szCs w:val="32"/>
    </w:rPr>
  </w:style>
  <w:style w:type="table" w:styleId="aa">
    <w:name w:val="Table Grid"/>
    <w:basedOn w:val="a2"/>
    <w:uiPriority w:val="59"/>
    <w:qFormat/>
    <w:rsid w:val="00F96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1"/>
    <w:uiPriority w:val="99"/>
    <w:semiHidden/>
    <w:unhideWhenUsed/>
    <w:qFormat/>
    <w:rsid w:val="00F96FB1"/>
    <w:rPr>
      <w:color w:val="800080" w:themeColor="followedHyperlink"/>
      <w:u w:val="single"/>
    </w:rPr>
  </w:style>
  <w:style w:type="character" w:styleId="ac">
    <w:name w:val="Hyperlink"/>
    <w:basedOn w:val="a1"/>
    <w:uiPriority w:val="99"/>
    <w:unhideWhenUsed/>
    <w:qFormat/>
    <w:rsid w:val="00F96FB1"/>
    <w:rPr>
      <w:color w:val="0000FF"/>
      <w:u w:val="single"/>
    </w:rPr>
  </w:style>
  <w:style w:type="character" w:styleId="ad">
    <w:name w:val="annotation reference"/>
    <w:basedOn w:val="a1"/>
    <w:unhideWhenUsed/>
    <w:qFormat/>
    <w:rsid w:val="00F96FB1"/>
    <w:rPr>
      <w:sz w:val="21"/>
      <w:szCs w:val="21"/>
    </w:rPr>
  </w:style>
  <w:style w:type="character" w:customStyle="1" w:styleId="1Char">
    <w:name w:val="标题 1 Char"/>
    <w:basedOn w:val="a1"/>
    <w:link w:val="1"/>
    <w:uiPriority w:val="9"/>
    <w:qFormat/>
    <w:rsid w:val="00F96FB1"/>
    <w:rPr>
      <w:rFonts w:ascii="宋体" w:eastAsia="宋体" w:hAnsi="宋体" w:cs="Times New Roman"/>
      <w:b/>
      <w:kern w:val="0"/>
      <w:sz w:val="44"/>
      <w:szCs w:val="42"/>
    </w:rPr>
  </w:style>
  <w:style w:type="character" w:customStyle="1" w:styleId="2Char">
    <w:name w:val="标题 2 Char"/>
    <w:basedOn w:val="a1"/>
    <w:link w:val="2"/>
    <w:uiPriority w:val="9"/>
    <w:qFormat/>
    <w:rsid w:val="00F96FB1"/>
    <w:rPr>
      <w:rFonts w:ascii="宋体" w:eastAsia="宋体" w:hAnsi="宋体" w:cs="Times New Roman"/>
      <w:b/>
      <w:kern w:val="0"/>
      <w:sz w:val="42"/>
      <w:szCs w:val="42"/>
    </w:rPr>
  </w:style>
  <w:style w:type="character" w:customStyle="1" w:styleId="5Char">
    <w:name w:val="标题 5 Char"/>
    <w:basedOn w:val="a1"/>
    <w:link w:val="5"/>
    <w:semiHidden/>
    <w:qFormat/>
    <w:rsid w:val="00F96FB1"/>
    <w:rPr>
      <w:rFonts w:ascii="Times New Roman" w:eastAsia="宋体" w:hAnsi="Times New Roman" w:cs="Times New Roman"/>
      <w:b/>
      <w:bCs/>
      <w:sz w:val="28"/>
      <w:szCs w:val="28"/>
    </w:rPr>
  </w:style>
  <w:style w:type="character" w:customStyle="1" w:styleId="Char">
    <w:name w:val="批注文字 Char"/>
    <w:basedOn w:val="a1"/>
    <w:link w:val="a4"/>
    <w:qFormat/>
    <w:rsid w:val="00F96FB1"/>
    <w:rPr>
      <w:rFonts w:ascii="仿宋_GB2312" w:eastAsia="仿宋_GB2312" w:hAnsi="Times New Roman" w:cs="Times New Roman"/>
      <w:kern w:val="0"/>
      <w:sz w:val="30"/>
      <w:szCs w:val="30"/>
    </w:rPr>
  </w:style>
  <w:style w:type="character" w:customStyle="1" w:styleId="Char0">
    <w:name w:val="纯文本 Char"/>
    <w:basedOn w:val="a1"/>
    <w:link w:val="a5"/>
    <w:semiHidden/>
    <w:qFormat/>
    <w:rsid w:val="00F96FB1"/>
    <w:rPr>
      <w:rFonts w:ascii="宋体" w:eastAsia="宋体" w:hAnsi="Courier New" w:cs="Times New Roman"/>
      <w:kern w:val="0"/>
      <w:sz w:val="30"/>
      <w:szCs w:val="20"/>
    </w:rPr>
  </w:style>
  <w:style w:type="character" w:customStyle="1" w:styleId="Char1">
    <w:name w:val="批注框文本 Char"/>
    <w:basedOn w:val="a1"/>
    <w:link w:val="a6"/>
    <w:uiPriority w:val="99"/>
    <w:semiHidden/>
    <w:qFormat/>
    <w:rsid w:val="00F96FB1"/>
    <w:rPr>
      <w:rFonts w:ascii="仿宋_GB2312" w:eastAsia="仿宋_GB2312" w:hAnsi="Times New Roman" w:cs="Times New Roman"/>
      <w:kern w:val="0"/>
      <w:sz w:val="18"/>
      <w:szCs w:val="18"/>
    </w:rPr>
  </w:style>
  <w:style w:type="character" w:customStyle="1" w:styleId="Char2">
    <w:name w:val="页脚 Char"/>
    <w:basedOn w:val="a1"/>
    <w:link w:val="a7"/>
    <w:uiPriority w:val="99"/>
    <w:qFormat/>
    <w:rsid w:val="00F96FB1"/>
    <w:rPr>
      <w:rFonts w:ascii="仿宋_GB2312" w:eastAsia="仿宋_GB2312" w:hAnsi="Times New Roman" w:cs="Times New Roman"/>
      <w:kern w:val="0"/>
      <w:sz w:val="18"/>
      <w:szCs w:val="18"/>
    </w:rPr>
  </w:style>
  <w:style w:type="character" w:customStyle="1" w:styleId="Char3">
    <w:name w:val="页眉 Char"/>
    <w:basedOn w:val="a1"/>
    <w:link w:val="a8"/>
    <w:uiPriority w:val="99"/>
    <w:qFormat/>
    <w:rsid w:val="00F96FB1"/>
    <w:rPr>
      <w:rFonts w:ascii="仿宋_GB2312" w:eastAsia="仿宋_GB2312" w:hAnsi="Times New Roman" w:cs="Times New Roman"/>
      <w:kern w:val="0"/>
      <w:sz w:val="18"/>
      <w:szCs w:val="18"/>
    </w:rPr>
  </w:style>
  <w:style w:type="character" w:customStyle="1" w:styleId="Char4">
    <w:name w:val="标题 Char"/>
    <w:basedOn w:val="a1"/>
    <w:link w:val="a9"/>
    <w:qFormat/>
    <w:rsid w:val="00F96FB1"/>
    <w:rPr>
      <w:rFonts w:asciiTheme="majorHAnsi" w:eastAsia="宋体" w:hAnsiTheme="majorHAnsi" w:cstheme="majorBidi"/>
      <w:b/>
      <w:bCs/>
      <w:kern w:val="0"/>
      <w:sz w:val="32"/>
      <w:szCs w:val="32"/>
    </w:rPr>
  </w:style>
  <w:style w:type="paragraph" w:styleId="ae">
    <w:name w:val="No Spacing"/>
    <w:uiPriority w:val="1"/>
    <w:qFormat/>
    <w:rsid w:val="00F96FB1"/>
    <w:pPr>
      <w:widowControl w:val="0"/>
      <w:ind w:firstLineChars="200" w:firstLine="600"/>
      <w:jc w:val="both"/>
    </w:pPr>
    <w:rPr>
      <w:rFonts w:ascii="仿宋_GB2312" w:eastAsia="仿宋_GB2312" w:hAnsi="Times New Roman" w:cs="Times New Roman"/>
      <w:sz w:val="30"/>
      <w:szCs w:val="30"/>
    </w:rPr>
  </w:style>
  <w:style w:type="character" w:customStyle="1" w:styleId="Char5">
    <w:name w:val="列出段落 Char"/>
    <w:link w:val="af"/>
    <w:uiPriority w:val="34"/>
    <w:qFormat/>
    <w:locked/>
    <w:rsid w:val="00F96FB1"/>
    <w:rPr>
      <w:szCs w:val="24"/>
    </w:rPr>
  </w:style>
  <w:style w:type="paragraph" w:styleId="af">
    <w:name w:val="List Paragraph"/>
    <w:basedOn w:val="a"/>
    <w:link w:val="Char5"/>
    <w:uiPriority w:val="34"/>
    <w:qFormat/>
    <w:rsid w:val="00F96FB1"/>
    <w:pPr>
      <w:spacing w:line="240" w:lineRule="auto"/>
      <w:ind w:firstLine="420"/>
    </w:pPr>
    <w:rPr>
      <w:rFonts w:asciiTheme="minorHAnsi" w:eastAsiaTheme="minorEastAsia" w:hAnsiTheme="minorHAnsi" w:cstheme="minorBidi"/>
      <w:kern w:val="2"/>
      <w:sz w:val="21"/>
      <w:szCs w:val="24"/>
    </w:rPr>
  </w:style>
  <w:style w:type="paragraph" w:customStyle="1" w:styleId="TOC1">
    <w:name w:val="TOC 标题1"/>
    <w:basedOn w:val="1"/>
    <w:next w:val="a"/>
    <w:uiPriority w:val="39"/>
    <w:semiHidden/>
    <w:unhideWhenUsed/>
    <w:qFormat/>
    <w:rsid w:val="00F96FB1"/>
    <w:pPr>
      <w:keepNext/>
      <w:keepLines/>
      <w:widowControl/>
      <w:spacing w:before="480" w:line="276" w:lineRule="auto"/>
      <w:ind w:firstLineChars="0" w:firstLine="0"/>
      <w:jc w:val="left"/>
      <w:outlineLvl w:val="9"/>
    </w:pPr>
    <w:rPr>
      <w:rFonts w:ascii="Cambria" w:hAnsi="Cambria"/>
      <w:bCs/>
      <w:color w:val="365F91"/>
      <w:sz w:val="28"/>
      <w:szCs w:val="28"/>
    </w:rPr>
  </w:style>
  <w:style w:type="paragraph" w:customStyle="1" w:styleId="-11">
    <w:name w:val="彩色列表 - 强调文字颜色 11"/>
    <w:basedOn w:val="a"/>
    <w:uiPriority w:val="34"/>
    <w:qFormat/>
    <w:rsid w:val="00F96FB1"/>
    <w:pPr>
      <w:spacing w:line="240" w:lineRule="auto"/>
      <w:ind w:firstLine="420"/>
    </w:pPr>
    <w:rPr>
      <w:rFonts w:ascii="Calibri" w:eastAsia="宋体" w:hAnsi="Calibri"/>
      <w:kern w:val="2"/>
      <w:sz w:val="21"/>
      <w:szCs w:val="22"/>
    </w:rPr>
  </w:style>
  <w:style w:type="paragraph" w:customStyle="1" w:styleId="11">
    <w:name w:val="列出段落1"/>
    <w:basedOn w:val="a"/>
    <w:qFormat/>
    <w:rsid w:val="00F96FB1"/>
    <w:pPr>
      <w:spacing w:line="240" w:lineRule="auto"/>
      <w:ind w:firstLine="420"/>
    </w:pPr>
    <w:rPr>
      <w:rFonts w:ascii="Times New Roman" w:eastAsia="宋体"/>
      <w:kern w:val="2"/>
      <w:sz w:val="21"/>
      <w:szCs w:val="24"/>
    </w:rPr>
  </w:style>
  <w:style w:type="character" w:customStyle="1" w:styleId="Char10">
    <w:name w:val="标题 Char1"/>
    <w:basedOn w:val="a1"/>
    <w:link w:val="a9"/>
    <w:qFormat/>
    <w:locked/>
    <w:rsid w:val="00F96FB1"/>
    <w:rPr>
      <w:rFonts w:ascii="Cambria" w:eastAsia="黑体" w:hAnsi="Cambria"/>
      <w:b/>
      <w:bCs/>
      <w:sz w:val="32"/>
      <w:szCs w:val="32"/>
    </w:rPr>
  </w:style>
  <w:style w:type="paragraph" w:customStyle="1" w:styleId="Char6">
    <w:name w:val="Char"/>
    <w:basedOn w:val="a"/>
    <w:qFormat/>
    <w:rsid w:val="00F96FB1"/>
    <w:pPr>
      <w:spacing w:line="240" w:lineRule="auto"/>
      <w:ind w:firstLineChars="0" w:firstLine="0"/>
    </w:pPr>
    <w:rPr>
      <w:rFonts w:ascii="Times New Roman" w:eastAsia="宋体"/>
      <w:kern w:val="2"/>
      <w:sz w:val="21"/>
      <w:szCs w:val="24"/>
    </w:rPr>
  </w:style>
</w:styles>
</file>

<file path=word/webSettings.xml><?xml version="1.0" encoding="utf-8"?>
<w:webSettings xmlns:r="http://schemas.openxmlformats.org/officeDocument/2006/relationships" xmlns:w="http://schemas.openxmlformats.org/wordprocessingml/2006/main">
  <w:divs>
    <w:div w:id="1633096984">
      <w:bodyDiv w:val="1"/>
      <w:marLeft w:val="0"/>
      <w:marRight w:val="0"/>
      <w:marTop w:val="0"/>
      <w:marBottom w:val="0"/>
      <w:divBdr>
        <w:top w:val="none" w:sz="0" w:space="0" w:color="auto"/>
        <w:left w:val="none" w:sz="0" w:space="0" w:color="auto"/>
        <w:bottom w:val="none" w:sz="0" w:space="0" w:color="auto"/>
        <w:right w:val="none" w:sz="0" w:space="0" w:color="auto"/>
      </w:divBdr>
    </w:div>
    <w:div w:id="1718818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A38C8-E369-4348-BED9-3E435189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9424</Words>
  <Characters>53718</Characters>
  <Application>Microsoft Office Word</Application>
  <DocSecurity>0</DocSecurity>
  <Lines>447</Lines>
  <Paragraphs>126</Paragraphs>
  <ScaleCrop>false</ScaleCrop>
  <Company/>
  <LinksUpToDate>false</LinksUpToDate>
  <CharactersWithSpaces>63016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2022-06-22T02:08:00Z</cp:lastPrinted>
  <dcterms:created xsi:type="dcterms:W3CDTF">2023-02-07T12:07:00Z</dcterms:created>
  <dcterms:modified xsi:type="dcterms:W3CDTF">2023-02-16T08:56:00Z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B99ECA7ECB824CB1AA3C53226A8C2C96</vt:lpwstr>
  </property>
</Properties>
</file>