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eastAsia" w:ascii="方正小标宋简体" w:hAnsi="方正小标宋简体" w:eastAsia="方正小标宋简体" w:cs="方正小标宋简体"/>
          <w:sz w:val="36"/>
          <w:szCs w:val="36"/>
          <w:lang w:val="en"/>
        </w:rPr>
      </w:pPr>
    </w:p>
    <w:p>
      <w:pPr>
        <w:pStyle w:val="3"/>
        <w:rPr>
          <w:rFonts w:hint="default" w:ascii="方正小标宋简体" w:hAnsi="宋体" w:eastAsia="方正小标宋简体" w:cs="华文中宋"/>
          <w:bCs/>
          <w:color w:val="auto"/>
          <w:kern w:val="2"/>
          <w:sz w:val="36"/>
          <w:szCs w:val="36"/>
          <w:lang w:val="en" w:eastAsia="zh-CN" w:bidi="ar-SA"/>
        </w:rPr>
      </w:pPr>
      <w:r>
        <w:rPr>
          <w:rFonts w:hint="eastAsia"/>
          <w:color w:val="auto"/>
          <w:lang w:eastAsia="zh-CN"/>
        </w:rPr>
        <w:t>关于《</w:t>
      </w:r>
      <w:r>
        <w:rPr>
          <w:rFonts w:hint="eastAsia"/>
          <w:color w:val="auto"/>
          <w:lang w:val="en-US" w:eastAsia="zh-CN"/>
        </w:rPr>
        <w:t>首次公开发行证券承销业务规则</w:t>
      </w:r>
      <w:r>
        <w:rPr>
          <w:rFonts w:hint="eastAsia"/>
          <w:color w:val="auto"/>
          <w:lang w:eastAsia="zh-CN"/>
        </w:rPr>
        <w:t>》的起草说明</w:t>
      </w:r>
    </w:p>
    <w:p>
      <w:pPr>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 w:hAnsi="Times New Roma" w:eastAsia="仿宋_GB2312" w:cs="Times New Roma"/>
          <w:sz w:val="32"/>
          <w:szCs w:val="32"/>
          <w:lang w:val="en-US" w:eastAsia="zh-CN"/>
        </w:rPr>
      </w:pPr>
    </w:p>
    <w:p>
      <w:pPr>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default" w:ascii="Times New Roma" w:hAnsi="Times New Roma" w:eastAsia="仿宋_GB2312" w:cs="Times New Roma"/>
          <w:sz w:val="32"/>
          <w:szCs w:val="32"/>
          <w:lang w:val="en-US" w:eastAsia="zh-CN"/>
        </w:rPr>
        <w:t>为深入贯彻党中央、国务院</w:t>
      </w:r>
      <w:bookmarkStart w:id="0" w:name="_GoBack"/>
      <w:bookmarkEnd w:id="0"/>
      <w:r>
        <w:rPr>
          <w:rFonts w:hint="default" w:ascii="Times New Roma" w:hAnsi="Times New Roma" w:eastAsia="仿宋_GB2312" w:cs="Times New Roma"/>
          <w:sz w:val="32"/>
          <w:szCs w:val="32"/>
          <w:lang w:val="en-US" w:eastAsia="zh-CN"/>
        </w:rPr>
        <w:t>关于全面实行股票发行注册制的决策部署，</w:t>
      </w:r>
      <w:r>
        <w:rPr>
          <w:rFonts w:hint="eastAsia" w:ascii="Times New Roma" w:hAnsi="Times New Roma" w:eastAsia="仿宋_GB2312" w:cs="Times New Roma"/>
          <w:sz w:val="32"/>
          <w:szCs w:val="32"/>
          <w:lang w:val="en-US" w:eastAsia="zh-CN"/>
        </w:rPr>
        <w:t>适应全面实施注册制发展需要，进一步加强行业自律管理，规范证券公司发行承销行为，</w:t>
      </w:r>
      <w:r>
        <w:rPr>
          <w:rFonts w:hint="default" w:ascii="Times New Roma" w:hAnsi="Times New Roma" w:eastAsia="仿宋_GB2312" w:cs="Times New Roma"/>
          <w:sz w:val="32"/>
          <w:szCs w:val="32"/>
          <w:lang w:val="en" w:eastAsia="zh-CN"/>
        </w:rPr>
        <w:t>落实承销商责任，</w:t>
      </w:r>
      <w:r>
        <w:rPr>
          <w:rFonts w:hint="eastAsia" w:ascii="Times New Roma" w:hAnsi="Times New Roma" w:eastAsia="仿宋_GB2312" w:cs="Times New Roma"/>
          <w:sz w:val="32"/>
          <w:szCs w:val="32"/>
          <w:lang w:val="en-US" w:eastAsia="zh-CN"/>
        </w:rPr>
        <w:t>根据</w:t>
      </w:r>
      <w:r>
        <w:rPr>
          <w:rFonts w:hint="default" w:ascii="Times New Roma" w:hAnsi="Times New Roma" w:eastAsia="仿宋_GB2312" w:cs="Times New Roma"/>
          <w:sz w:val="32"/>
          <w:szCs w:val="32"/>
        </w:rPr>
        <w:t>《</w:t>
      </w:r>
      <w:r>
        <w:rPr>
          <w:rFonts w:hint="default" w:ascii="Times New Roma" w:hAnsi="Times New Roma" w:eastAsia="仿宋_GB2312" w:cs="Times New Roma"/>
          <w:sz w:val="32"/>
          <w:szCs w:val="32"/>
          <w:lang w:val="en-US" w:eastAsia="zh-CN"/>
        </w:rPr>
        <w:t>证券发行与承销管理办法》《北京证券交易所向不特定合格投资者公开发行股票注册管理办法》</w:t>
      </w:r>
      <w:r>
        <w:rPr>
          <w:rFonts w:hint="default" w:ascii="Times New Roma" w:hAnsi="Times New Roma" w:eastAsia="仿宋_GB2312" w:cs="Times New Roma"/>
          <w:sz w:val="32"/>
          <w:szCs w:val="32"/>
        </w:rPr>
        <w:t>等相关规定，</w:t>
      </w:r>
      <w:r>
        <w:rPr>
          <w:rFonts w:hint="eastAsia" w:ascii="Times New Roma" w:hAnsi="Times New Roma" w:eastAsia="仿宋_GB2312" w:cs="Times New Roma"/>
          <w:sz w:val="32"/>
          <w:szCs w:val="32"/>
          <w:lang w:eastAsia="zh-CN"/>
        </w:rPr>
        <w:t>结合证券公司发行承销</w:t>
      </w:r>
      <w:r>
        <w:rPr>
          <w:rFonts w:hint="eastAsia" w:ascii="Times New Roma" w:hAnsi="Times New Roma" w:eastAsia="仿宋_GB2312" w:cs="Times New Roma"/>
          <w:sz w:val="32"/>
          <w:szCs w:val="32"/>
          <w:lang w:val="en-US" w:eastAsia="zh-CN"/>
        </w:rPr>
        <w:t>实践经验，中国证券业协会</w:t>
      </w:r>
      <w:r>
        <w:rPr>
          <w:rFonts w:hint="default" w:ascii="Times New Roma" w:hAnsi="Times New Roma" w:eastAsia="仿宋_GB2312" w:cs="Times New Roma"/>
          <w:sz w:val="32"/>
          <w:szCs w:val="32"/>
          <w:lang w:val="en" w:eastAsia="zh-CN"/>
        </w:rPr>
        <w:t>（以下简称“协会”）</w:t>
      </w:r>
      <w:r>
        <w:rPr>
          <w:rFonts w:hint="eastAsia" w:ascii="Times New Roma" w:hAnsi="Times New Roma" w:eastAsia="仿宋_GB2312" w:cs="Times New Roma"/>
          <w:sz w:val="32"/>
          <w:szCs w:val="32"/>
          <w:lang w:val="en-US" w:eastAsia="zh-CN"/>
        </w:rPr>
        <w:t>对原</w:t>
      </w:r>
      <w:r>
        <w:rPr>
          <w:rFonts w:hint="eastAsia" w:ascii="仿宋_GB2312" w:hAnsi="仿宋_GB2312" w:eastAsia="仿宋_GB2312" w:cs="仿宋_GB2312"/>
          <w:sz w:val="32"/>
          <w:szCs w:val="32"/>
          <w:lang w:val="en" w:eastAsia="zh-CN"/>
        </w:rPr>
        <w:t>《首次公开发行股票承销业务规范》《注册制下首次公开发行股票承销规范》《北京证券交易所股票向不特定合格投资者公开发行与承销特别条款》《首次公开发行股票配售细则》进行整合</w:t>
      </w:r>
      <w:r>
        <w:rPr>
          <w:rFonts w:hint="default" w:ascii="仿宋_GB2312" w:hAnsi="仿宋_GB2312" w:eastAsia="仿宋_GB2312" w:cs="仿宋_GB2312"/>
          <w:sz w:val="32"/>
          <w:szCs w:val="32"/>
          <w:lang w:val="en" w:eastAsia="zh-CN"/>
        </w:rPr>
        <w:t>优化</w:t>
      </w:r>
      <w:r>
        <w:rPr>
          <w:rFonts w:hint="eastAsia" w:ascii="仿宋_GB2312" w:hAnsi="仿宋_GB2312" w:eastAsia="仿宋_GB2312" w:cs="仿宋_GB2312"/>
          <w:sz w:val="32"/>
          <w:szCs w:val="32"/>
          <w:lang w:val="en" w:eastAsia="zh-CN"/>
        </w:rPr>
        <w:t>，制定形成</w:t>
      </w:r>
      <w:r>
        <w:rPr>
          <w:rFonts w:hint="eastAsia" w:ascii="Times New Roma" w:hAnsi="Times New Roma" w:eastAsia="仿宋_GB2312" w:cs="Times New Roma"/>
          <w:sz w:val="32"/>
          <w:szCs w:val="32"/>
          <w:lang w:val="en-US" w:eastAsia="zh-CN"/>
        </w:rPr>
        <w:t>《首次公开发行证券承销业务规则》（以下简称《承销规则》），</w:t>
      </w:r>
      <w:r>
        <w:rPr>
          <w:rFonts w:hint="eastAsia" w:ascii="仿宋_GB2312" w:hAnsi="仿宋_GB2312" w:eastAsia="仿宋_GB2312" w:cs="仿宋_GB2312"/>
          <w:b w:val="0"/>
          <w:bCs/>
          <w:sz w:val="32"/>
          <w:szCs w:val="32"/>
          <w:lang w:val="en-US" w:eastAsia="zh-CN"/>
        </w:rPr>
        <w:t>现就起草情况说明如下：</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起草思路</w:t>
      </w:r>
    </w:p>
    <w:p>
      <w:pPr>
        <w:pStyle w:val="14"/>
        <w:keepNext w:val="0"/>
        <w:keepLines w:val="0"/>
        <w:pageBreakBefore w:val="0"/>
        <w:widowControl w:val="0"/>
        <w:numPr>
          <w:ilvl w:val="0"/>
          <w:numId w:val="0"/>
        </w:numPr>
        <w:kinsoku/>
        <w:wordWrap/>
        <w:overflowPunct/>
        <w:topLinePunct w:val="0"/>
        <w:bidi w:val="0"/>
        <w:adjustRightInd/>
        <w:snapToGrid/>
        <w:spacing w:line="600" w:lineRule="atLeast"/>
        <w:ind w:left="0" w:leftChars="0" w:firstLine="642" w:firstLineChars="200"/>
        <w:jc w:val="both"/>
        <w:textAlignment w:val="auto"/>
        <w:rPr>
          <w:rFonts w:hint="eastAsia" w:ascii="楷体GB_2312" w:hAnsi="楷体GB_2312" w:eastAsia="楷体GB_2312" w:cs="楷体GB_2312"/>
          <w:color w:val="auto"/>
          <w:kern w:val="2"/>
          <w:sz w:val="32"/>
          <w:szCs w:val="32"/>
          <w:lang w:val="en-US" w:eastAsia="zh-CN" w:bidi="ar-SA"/>
        </w:rPr>
      </w:pPr>
      <w:r>
        <w:rPr>
          <w:rFonts w:hint="default" w:hAnsi="仿宋_GB2312" w:cs="仿宋_GB2312"/>
          <w:b/>
          <w:bCs/>
          <w:color w:val="auto"/>
          <w:kern w:val="0"/>
          <w:sz w:val="32"/>
          <w:szCs w:val="32"/>
          <w:lang w:val="en" w:eastAsia="zh-CN" w:bidi="ar-SA"/>
        </w:rPr>
        <w:t>一是</w:t>
      </w:r>
      <w:r>
        <w:rPr>
          <w:rFonts w:hint="eastAsia" w:hAnsi="仿宋_GB2312" w:cs="仿宋_GB2312"/>
          <w:color w:val="auto"/>
          <w:kern w:val="0"/>
          <w:sz w:val="32"/>
          <w:szCs w:val="32"/>
          <w:lang w:val="en" w:eastAsia="zh-CN" w:bidi="ar-SA"/>
        </w:rPr>
        <w:t>落实注册制改革监管转型要求</w:t>
      </w:r>
      <w:r>
        <w:rPr>
          <w:rFonts w:hint="default" w:hAnsi="仿宋_GB2312" w:cs="仿宋_GB2312"/>
          <w:color w:val="auto"/>
          <w:kern w:val="0"/>
          <w:sz w:val="32"/>
          <w:szCs w:val="32"/>
          <w:lang w:val="en" w:eastAsia="zh-CN" w:bidi="ar-SA"/>
        </w:rPr>
        <w:t>，</w:t>
      </w:r>
      <w:r>
        <w:rPr>
          <w:rFonts w:hint="eastAsia" w:ascii="仿宋_GB2312" w:hAnsi="仿宋_GB2312" w:eastAsia="仿宋_GB2312" w:cs="仿宋_GB2312"/>
          <w:color w:val="auto"/>
          <w:kern w:val="0"/>
          <w:sz w:val="32"/>
          <w:szCs w:val="32"/>
          <w:lang w:val="en" w:eastAsia="zh-CN" w:bidi="ar-SA"/>
        </w:rPr>
        <w:t>总结吸收科创板、创业板注册制试点中发行承销业务</w:t>
      </w:r>
      <w:r>
        <w:rPr>
          <w:rFonts w:hint="default" w:hAnsi="仿宋_GB2312" w:cs="仿宋_GB2312"/>
          <w:color w:val="auto"/>
          <w:kern w:val="0"/>
          <w:sz w:val="32"/>
          <w:szCs w:val="32"/>
          <w:lang w:val="en" w:eastAsia="zh-CN" w:bidi="ar-SA"/>
        </w:rPr>
        <w:t>自律管理</w:t>
      </w:r>
      <w:r>
        <w:rPr>
          <w:rFonts w:hint="eastAsia" w:hAnsi="仿宋_GB2312" w:cs="仿宋_GB2312"/>
          <w:color w:val="auto"/>
          <w:kern w:val="0"/>
          <w:sz w:val="32"/>
          <w:szCs w:val="32"/>
          <w:lang w:val="en" w:eastAsia="zh-CN" w:bidi="ar-SA"/>
        </w:rPr>
        <w:t>实践经验，</w:t>
      </w:r>
      <w:r>
        <w:rPr>
          <w:rFonts w:hint="default" w:hAnsi="仿宋_GB2312" w:cs="仿宋_GB2312"/>
          <w:color w:val="auto"/>
          <w:kern w:val="0"/>
          <w:sz w:val="32"/>
          <w:szCs w:val="32"/>
          <w:lang w:val="en" w:eastAsia="zh-CN" w:bidi="ar-SA"/>
        </w:rPr>
        <w:t>加强承销商自律管理。</w:t>
      </w:r>
      <w:r>
        <w:rPr>
          <w:rFonts w:hint="eastAsia" w:hAnsi="仿宋_GB2312" w:cs="仿宋_GB2312"/>
          <w:color w:val="auto"/>
          <w:kern w:val="0"/>
          <w:sz w:val="32"/>
          <w:szCs w:val="32"/>
          <w:lang w:val="en" w:eastAsia="zh-CN" w:bidi="ar-SA"/>
        </w:rPr>
        <w:t>明确承销商路演推介相关要求，细化发行与配售等规定，明确投资价值研究报告的撰写、提供方式、相关制度等要求，</w:t>
      </w:r>
      <w:r>
        <w:rPr>
          <w:rFonts w:hint="eastAsia" w:ascii="仿宋_GB2312" w:hAnsi="仿宋_GB2312" w:eastAsia="仿宋_GB2312" w:cs="仿宋_GB2312"/>
          <w:color w:val="auto"/>
          <w:kern w:val="0"/>
          <w:sz w:val="32"/>
          <w:szCs w:val="32"/>
          <w:lang w:val="en" w:eastAsia="zh-CN" w:bidi="ar-SA"/>
        </w:rPr>
        <w:t>切实提高报告质量，</w:t>
      </w:r>
      <w:r>
        <w:rPr>
          <w:rFonts w:hint="eastAsia" w:hAnsi="仿宋_GB2312" w:cs="仿宋_GB2312"/>
          <w:color w:val="auto"/>
          <w:kern w:val="0"/>
          <w:sz w:val="32"/>
          <w:szCs w:val="32"/>
          <w:lang w:val="en" w:eastAsia="zh-CN" w:bidi="ar-SA"/>
        </w:rPr>
        <w:t>促进形成市场化发行承销机制，</w:t>
      </w:r>
      <w:r>
        <w:rPr>
          <w:rFonts w:hint="default" w:hAnsi="仿宋_GB2312" w:cs="仿宋_GB2312"/>
          <w:color w:val="auto"/>
          <w:kern w:val="0"/>
          <w:sz w:val="32"/>
          <w:szCs w:val="32"/>
          <w:lang w:val="en" w:eastAsia="zh-CN" w:bidi="ar-SA"/>
        </w:rPr>
        <w:t>进</w:t>
      </w:r>
      <w:r>
        <w:rPr>
          <w:rFonts w:hint="eastAsia" w:ascii="仿宋_GB2312" w:hAnsi="仿宋_GB2312" w:eastAsia="仿宋_GB2312" w:cs="仿宋_GB2312"/>
          <w:color w:val="auto"/>
          <w:kern w:val="0"/>
          <w:sz w:val="32"/>
          <w:szCs w:val="32"/>
          <w:lang w:val="en" w:eastAsia="zh-CN" w:bidi="ar-SA"/>
        </w:rPr>
        <w:t>一步规范证券公司承销行为</w:t>
      </w:r>
      <w:r>
        <w:rPr>
          <w:rFonts w:hint="default" w:hAnsi="仿宋_GB2312" w:cs="仿宋_GB2312"/>
          <w:color w:val="auto"/>
          <w:kern w:val="0"/>
          <w:sz w:val="32"/>
          <w:szCs w:val="32"/>
          <w:lang w:val="en" w:eastAsia="zh-CN" w:bidi="ar-SA"/>
        </w:rPr>
        <w:t>。</w:t>
      </w:r>
      <w:r>
        <w:rPr>
          <w:rFonts w:hint="eastAsia" w:hAnsi="仿宋_GB2312" w:cs="仿宋_GB2312"/>
          <w:color w:val="auto"/>
          <w:kern w:val="0"/>
          <w:sz w:val="32"/>
          <w:szCs w:val="32"/>
          <w:lang w:val="en" w:eastAsia="zh-CN" w:bidi="ar-SA"/>
        </w:rPr>
        <w:t>此外，</w:t>
      </w:r>
      <w:r>
        <w:rPr>
          <w:rFonts w:hint="eastAsia" w:ascii="仿宋_GB2312" w:hAnsi="仿宋_GB2312" w:eastAsia="仿宋_GB2312" w:cs="仿宋_GB2312"/>
          <w:color w:val="auto"/>
          <w:kern w:val="0"/>
          <w:sz w:val="32"/>
          <w:szCs w:val="32"/>
          <w:lang w:val="en" w:eastAsia="zh-CN" w:bidi="ar-SA"/>
        </w:rPr>
        <w:t>引导承销商积极承担社会责任，规范承销业务收费</w:t>
      </w:r>
      <w:r>
        <w:rPr>
          <w:rFonts w:hint="eastAsia" w:hAnsi="仿宋_GB2312" w:cs="仿宋_GB2312"/>
          <w:color w:val="auto"/>
          <w:kern w:val="0"/>
          <w:sz w:val="32"/>
          <w:szCs w:val="32"/>
          <w:lang w:val="en" w:eastAsia="zh-CN" w:bidi="ar-SA"/>
        </w:rPr>
        <w:t>。</w:t>
      </w:r>
    </w:p>
    <w:p>
      <w:pPr>
        <w:pStyle w:val="14"/>
        <w:keepNext w:val="0"/>
        <w:keepLines w:val="0"/>
        <w:pageBreakBefore w:val="0"/>
        <w:widowControl w:val="0"/>
        <w:numPr>
          <w:ilvl w:val="0"/>
          <w:numId w:val="0"/>
        </w:numPr>
        <w:kinsoku/>
        <w:wordWrap/>
        <w:overflowPunct/>
        <w:topLinePunct w:val="0"/>
        <w:bidi w:val="0"/>
        <w:adjustRightInd/>
        <w:snapToGrid/>
        <w:spacing w:line="600" w:lineRule="atLeast"/>
        <w:ind w:left="0" w:leftChars="0" w:firstLine="642" w:firstLineChars="200"/>
        <w:jc w:val="both"/>
        <w:textAlignment w:val="auto"/>
        <w:rPr>
          <w:rFonts w:hint="eastAsia" w:hAnsi="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lang w:val="en" w:eastAsia="zh-CN" w:bidi="ar-SA"/>
        </w:rPr>
        <w:t>二是</w:t>
      </w:r>
      <w:r>
        <w:rPr>
          <w:rFonts w:hint="eastAsia" w:ascii="仿宋_GB2312" w:hAnsi="仿宋_GB2312" w:eastAsia="仿宋_GB2312" w:cs="仿宋_GB2312"/>
          <w:color w:val="auto"/>
          <w:kern w:val="0"/>
          <w:sz w:val="32"/>
          <w:szCs w:val="32"/>
          <w:lang w:val="en" w:eastAsia="zh-CN" w:bidi="ar-SA"/>
        </w:rPr>
        <w:t>统一</w:t>
      </w:r>
      <w:r>
        <w:rPr>
          <w:rFonts w:hint="eastAsia" w:ascii="仿宋_GB2312" w:hAnsi="仿宋_GB2312" w:eastAsia="仿宋_GB2312" w:cs="仿宋_GB2312"/>
          <w:b w:val="0"/>
          <w:bCs w:val="0"/>
          <w:color w:val="auto"/>
          <w:kern w:val="0"/>
          <w:sz w:val="32"/>
          <w:szCs w:val="32"/>
          <w:lang w:val="en" w:eastAsia="zh-CN" w:bidi="ar-SA"/>
        </w:rPr>
        <w:t>注册制下各板块发行承销规则，</w:t>
      </w:r>
      <w:r>
        <w:rPr>
          <w:rFonts w:hint="default" w:hAnsi="仿宋_GB2312" w:cs="仿宋_GB2312"/>
          <w:color w:val="auto"/>
          <w:kern w:val="0"/>
          <w:sz w:val="32"/>
          <w:szCs w:val="32"/>
          <w:lang w:val="en" w:eastAsia="zh-CN" w:bidi="ar-SA"/>
        </w:rPr>
        <w:t>形</w:t>
      </w:r>
      <w:r>
        <w:rPr>
          <w:rFonts w:hint="eastAsia" w:hAnsi="仿宋_GB2312" w:cs="仿宋_GB2312"/>
          <w:color w:val="auto"/>
          <w:kern w:val="0"/>
          <w:sz w:val="32"/>
          <w:szCs w:val="32"/>
          <w:lang w:val="en" w:eastAsia="zh-CN" w:bidi="ar-SA"/>
        </w:rPr>
        <w:t>成简明清晰的证券公司承销</w:t>
      </w:r>
      <w:r>
        <w:rPr>
          <w:rFonts w:hint="default" w:hAnsi="仿宋_GB2312" w:cs="仿宋_GB2312"/>
          <w:color w:val="auto"/>
          <w:kern w:val="0"/>
          <w:sz w:val="32"/>
          <w:szCs w:val="32"/>
          <w:lang w:val="en" w:eastAsia="zh-CN" w:bidi="ar-SA"/>
        </w:rPr>
        <w:t>业务自律管理</w:t>
      </w:r>
      <w:r>
        <w:rPr>
          <w:rFonts w:hint="eastAsia" w:hAnsi="仿宋_GB2312" w:cs="仿宋_GB2312"/>
          <w:color w:val="auto"/>
          <w:kern w:val="0"/>
          <w:sz w:val="32"/>
          <w:szCs w:val="32"/>
          <w:lang w:val="en" w:eastAsia="zh-CN" w:bidi="ar-SA"/>
        </w:rPr>
        <w:t>规则体系，</w:t>
      </w:r>
      <w:r>
        <w:rPr>
          <w:rFonts w:hint="default" w:ascii="仿宋_GB2312" w:hAnsi="仿宋_GB2312" w:eastAsia="仿宋_GB2312" w:cs="仿宋_GB2312"/>
          <w:b w:val="0"/>
          <w:bCs/>
          <w:color w:val="000000"/>
          <w:kern w:val="0"/>
          <w:sz w:val="32"/>
          <w:szCs w:val="32"/>
          <w:lang w:val="en" w:eastAsia="zh-CN" w:bidi="ar-SA"/>
        </w:rPr>
        <w:t>明确首次公开发行证券、向不特定合格投资者公开发行股票并在北交所上市的发行承销业务适用本</w:t>
      </w:r>
      <w:r>
        <w:rPr>
          <w:rFonts w:hint="default" w:hAnsi="仿宋_GB2312" w:cs="仿宋_GB2312"/>
          <w:b w:val="0"/>
          <w:bCs/>
          <w:color w:val="000000"/>
          <w:kern w:val="0"/>
          <w:sz w:val="32"/>
          <w:szCs w:val="32"/>
          <w:lang w:val="en" w:eastAsia="zh-CN" w:bidi="ar-SA"/>
        </w:rPr>
        <w:t>规则</w:t>
      </w:r>
      <w:r>
        <w:rPr>
          <w:rFonts w:hint="default" w:ascii="仿宋_GB2312" w:hAnsi="仿宋_GB2312" w:eastAsia="仿宋_GB2312" w:cs="仿宋_GB2312"/>
          <w:b w:val="0"/>
          <w:bCs/>
          <w:color w:val="000000"/>
          <w:kern w:val="0"/>
          <w:sz w:val="32"/>
          <w:szCs w:val="32"/>
          <w:lang w:val="en" w:eastAsia="zh-CN" w:bidi="ar-SA"/>
        </w:rPr>
        <w:t>，并</w:t>
      </w:r>
      <w:r>
        <w:rPr>
          <w:rFonts w:hint="eastAsia" w:ascii="仿宋_GB2312" w:hAnsi="仿宋_GB2312" w:eastAsia="仿宋_GB2312" w:cs="仿宋_GB2312"/>
          <w:b w:val="0"/>
          <w:bCs/>
          <w:color w:val="000000"/>
          <w:kern w:val="0"/>
          <w:sz w:val="32"/>
          <w:szCs w:val="32"/>
          <w:lang w:val="en" w:eastAsia="zh-CN" w:bidi="ar-SA"/>
        </w:rPr>
        <w:t>作出</w:t>
      </w:r>
      <w:r>
        <w:rPr>
          <w:rFonts w:hint="default" w:ascii="仿宋_GB2312" w:hAnsi="仿宋_GB2312" w:eastAsia="仿宋_GB2312" w:cs="仿宋_GB2312"/>
          <w:b w:val="0"/>
          <w:bCs/>
          <w:color w:val="000000"/>
          <w:kern w:val="0"/>
          <w:sz w:val="32"/>
          <w:szCs w:val="32"/>
          <w:lang w:val="en" w:eastAsia="zh-CN" w:bidi="ar-SA"/>
        </w:rPr>
        <w:t>差异化安排</w:t>
      </w:r>
      <w:r>
        <w:rPr>
          <w:rFonts w:hint="eastAsia" w:hAnsi="仿宋_GB2312" w:cs="仿宋_GB2312"/>
          <w:b w:val="0"/>
          <w:bCs/>
          <w:color w:val="000000"/>
          <w:kern w:val="0"/>
          <w:sz w:val="32"/>
          <w:szCs w:val="32"/>
          <w:lang w:val="en" w:eastAsia="zh-CN" w:bidi="ar-SA"/>
        </w:rPr>
        <w:t>。</w:t>
      </w:r>
    </w:p>
    <w:p>
      <w:pPr>
        <w:pStyle w:val="14"/>
        <w:keepNext w:val="0"/>
        <w:keepLines w:val="0"/>
        <w:pageBreakBefore w:val="0"/>
        <w:widowControl w:val="0"/>
        <w:kinsoku/>
        <w:wordWrap/>
        <w:overflowPunct/>
        <w:topLinePunct w:val="0"/>
        <w:bidi w:val="0"/>
        <w:adjustRightInd/>
        <w:snapToGrid/>
        <w:spacing w:line="600" w:lineRule="atLeast"/>
        <w:ind w:left="0" w:leftChars="0" w:firstLine="640" w:firstLineChars="200"/>
        <w:jc w:val="both"/>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 w:eastAsia="zh-CN"/>
        </w:rPr>
        <w:t>二、起草的主要内容</w:t>
      </w:r>
    </w:p>
    <w:p>
      <w:pPr>
        <w:pageBreakBefore w:val="0"/>
        <w:widowControl w:val="0"/>
        <w:numPr>
          <w:ilvl w:val="0"/>
          <w:numId w:val="0"/>
        </w:numPr>
        <w:kinsoku/>
        <w:wordWrap/>
        <w:overflowPunct/>
        <w:topLinePunct w:val="0"/>
        <w:bidi w:val="0"/>
        <w:adjustRightInd/>
        <w:snapToGrid/>
        <w:spacing w:line="600" w:lineRule="atLeast"/>
        <w:ind w:firstLine="640" w:firstLineChars="200"/>
        <w:textAlignment w:val="auto"/>
        <w:rPr>
          <w:rFonts w:hint="eastAsia" w:ascii="仿宋_GB2312" w:hAnsi="仿宋_GB2312" w:eastAsia="仿宋_GB2312" w:cs="仿宋_GB2312"/>
          <w:b w:val="0"/>
          <w:bCs/>
          <w:color w:val="000000"/>
          <w:kern w:val="0"/>
          <w:sz w:val="32"/>
          <w:szCs w:val="32"/>
          <w:lang w:val="en" w:eastAsia="zh-CN" w:bidi="ar-SA"/>
        </w:rPr>
      </w:pPr>
      <w:r>
        <w:rPr>
          <w:rFonts w:hint="default" w:ascii="仿宋_GB2312" w:hAnsi="仿宋_GB2312" w:eastAsia="仿宋_GB2312" w:cs="仿宋_GB2312"/>
          <w:color w:val="auto"/>
          <w:kern w:val="0"/>
          <w:sz w:val="32"/>
          <w:szCs w:val="32"/>
          <w:lang w:val="en" w:eastAsia="zh-CN" w:bidi="ar-SA"/>
        </w:rPr>
        <w:t>《承销</w:t>
      </w:r>
      <w:r>
        <w:rPr>
          <w:rFonts w:hint="eastAsia" w:ascii="仿宋_GB2312" w:hAnsi="仿宋_GB2312" w:eastAsia="仿宋_GB2312" w:cs="仿宋_GB2312"/>
          <w:color w:val="auto"/>
          <w:kern w:val="0"/>
          <w:sz w:val="32"/>
          <w:szCs w:val="32"/>
          <w:lang w:val="en" w:eastAsia="zh-CN" w:bidi="ar-SA"/>
        </w:rPr>
        <w:t>规则</w:t>
      </w:r>
      <w:r>
        <w:rPr>
          <w:rFonts w:hint="default" w:ascii="仿宋_GB2312" w:hAnsi="仿宋_GB2312" w:eastAsia="仿宋_GB2312" w:cs="仿宋_GB2312"/>
          <w:color w:val="auto"/>
          <w:kern w:val="0"/>
          <w:sz w:val="32"/>
          <w:szCs w:val="32"/>
          <w:lang w:val="en" w:eastAsia="zh-CN" w:bidi="ar-SA"/>
        </w:rPr>
        <w:t>》</w:t>
      </w:r>
      <w:r>
        <w:rPr>
          <w:rFonts w:hint="eastAsia" w:ascii="仿宋_GB2312" w:hAnsi="仿宋_GB2312" w:eastAsia="仿宋_GB2312" w:cs="仿宋_GB2312"/>
          <w:color w:val="auto"/>
          <w:kern w:val="0"/>
          <w:sz w:val="32"/>
          <w:szCs w:val="32"/>
          <w:lang w:val="en" w:eastAsia="zh-CN" w:bidi="ar-SA"/>
        </w:rPr>
        <w:t>共六章七十二条，包括总则、路演推介、发行与配售、投资价值研究报告、自律管理、附则等。</w:t>
      </w:r>
      <w:r>
        <w:rPr>
          <w:rFonts w:hint="eastAsia" w:ascii="仿宋_GB2312" w:hAnsi="仿宋_GB2312" w:eastAsia="仿宋_GB2312" w:cs="仿宋_GB2312"/>
          <w:b w:val="0"/>
          <w:bCs/>
          <w:color w:val="000000"/>
          <w:kern w:val="0"/>
          <w:sz w:val="32"/>
          <w:szCs w:val="32"/>
          <w:lang w:val="en" w:eastAsia="zh-CN" w:bidi="ar-SA"/>
        </w:rPr>
        <w:t>主要内容如下：</w:t>
      </w:r>
    </w:p>
    <w:p>
      <w:pPr>
        <w:pStyle w:val="2"/>
        <w:pageBreakBefore w:val="0"/>
        <w:widowControl w:val="0"/>
        <w:kinsoku/>
        <w:wordWrap/>
        <w:overflowPunct/>
        <w:topLinePunct w:val="0"/>
        <w:bidi w:val="0"/>
        <w:adjustRightInd/>
        <w:snapToGrid/>
        <w:spacing w:before="0" w:beforeLines="0" w:line="600" w:lineRule="atLeast"/>
        <w:textAlignment w:val="auto"/>
        <w:rPr>
          <w:rFonts w:hint="default"/>
          <w:lang w:val="en-US" w:eastAsia="zh-CN"/>
        </w:rPr>
      </w:pPr>
      <w:r>
        <w:rPr>
          <w:rFonts w:hint="eastAsia" w:ascii="仿宋_GB2312" w:hAnsi="仿宋_GB2312" w:eastAsia="仿宋_GB2312" w:cs="仿宋_GB2312"/>
          <w:b w:val="0"/>
          <w:bCs/>
          <w:color w:val="000000"/>
          <w:kern w:val="0"/>
          <w:sz w:val="32"/>
          <w:szCs w:val="32"/>
          <w:lang w:val="en-US" w:eastAsia="zh-CN" w:bidi="ar-SA"/>
        </w:rPr>
        <w:t xml:space="preserve">   </w:t>
      </w:r>
      <w:r>
        <w:rPr>
          <w:rFonts w:hint="eastAsia" w:ascii="楷体GB_2312" w:hAnsi="楷体GB_2312" w:eastAsia="楷体GB_2312" w:cs="楷体GB_2312"/>
          <w:sz w:val="32"/>
          <w:szCs w:val="32"/>
          <w:lang w:val="en-US" w:eastAsia="zh-CN"/>
        </w:rPr>
        <w:t xml:space="preserve"> （一）明确路演推介的要求</w:t>
      </w:r>
    </w:p>
    <w:p>
      <w:pPr>
        <w:pageBreakBefore w:val="0"/>
        <w:widowControl w:val="0"/>
        <w:numPr>
          <w:ilvl w:val="0"/>
          <w:numId w:val="0"/>
        </w:numPr>
        <w:kinsoku/>
        <w:wordWrap/>
        <w:overflowPunct/>
        <w:topLinePunct w:val="0"/>
        <w:bidi w:val="0"/>
        <w:adjustRightInd/>
        <w:snapToGrid/>
        <w:spacing w:line="600" w:lineRule="atLeast"/>
        <w:ind w:firstLine="640" w:firstLineChars="200"/>
        <w:textAlignment w:val="auto"/>
        <w:rPr>
          <w:rFonts w:hint="eastAsia"/>
          <w:lang w:val="en-US" w:eastAsia="zh-CN"/>
        </w:rPr>
      </w:pPr>
      <w:r>
        <w:rPr>
          <w:rFonts w:hint="eastAsia" w:ascii="仿宋_GB2312" w:hAnsi="仿宋_GB2312" w:eastAsia="仿宋_GB2312" w:cs="仿宋_GB2312"/>
          <w:b w:val="0"/>
          <w:bCs/>
          <w:color w:val="000000"/>
          <w:kern w:val="0"/>
          <w:sz w:val="32"/>
          <w:szCs w:val="32"/>
          <w:lang w:val="en-US" w:eastAsia="zh-CN" w:bidi="ar-SA"/>
        </w:rPr>
        <w:t>一是细化发行人和主承销商在</w:t>
      </w:r>
      <w:r>
        <w:rPr>
          <w:rFonts w:hint="default" w:ascii="仿宋_GB2312" w:hAnsi="仿宋_GB2312" w:eastAsia="仿宋_GB2312" w:cs="仿宋_GB2312"/>
          <w:b w:val="0"/>
          <w:bCs/>
          <w:color w:val="000000"/>
          <w:kern w:val="0"/>
          <w:sz w:val="32"/>
          <w:szCs w:val="32"/>
          <w:lang w:val="en" w:eastAsia="zh-CN" w:bidi="ar-SA"/>
        </w:rPr>
        <w:t>首次公开发行证券、向不特定合格投资者公开发行股票并在北交所上市的发行承销业务</w:t>
      </w:r>
      <w:r>
        <w:rPr>
          <w:rFonts w:hint="eastAsia" w:ascii="仿宋_GB2312" w:hAnsi="仿宋_GB2312" w:eastAsia="仿宋_GB2312" w:cs="仿宋_GB2312"/>
          <w:b w:val="0"/>
          <w:bCs/>
          <w:color w:val="000000"/>
          <w:kern w:val="0"/>
          <w:sz w:val="32"/>
          <w:szCs w:val="32"/>
          <w:lang w:val="en" w:eastAsia="zh-CN" w:bidi="ar-SA"/>
        </w:rPr>
        <w:t>路演推介过程中推介方式、推介范围。二是明确向参与战略配售的投资者、网下</w:t>
      </w:r>
      <w:r>
        <w:rPr>
          <w:rFonts w:hint="eastAsia" w:ascii="仿宋_GB2312" w:hAnsi="仿宋_GB2312" w:eastAsia="仿宋_GB2312" w:cs="仿宋_GB2312"/>
          <w:b w:val="0"/>
          <w:bCs/>
          <w:color w:val="000000"/>
          <w:kern w:val="0"/>
          <w:sz w:val="32"/>
          <w:szCs w:val="32"/>
          <w:lang w:val="en-US" w:eastAsia="zh-CN" w:bidi="ar-SA"/>
        </w:rPr>
        <w:t>投资者、公众投资者推介的具体要求，</w:t>
      </w:r>
      <w:r>
        <w:rPr>
          <w:rFonts w:hint="eastAsia" w:ascii="仿宋_GB2312" w:hAnsi="仿宋_GB2312" w:eastAsia="仿宋_GB2312" w:cs="仿宋_GB2312"/>
          <w:color w:val="auto"/>
          <w:kern w:val="0"/>
          <w:sz w:val="32"/>
          <w:szCs w:val="32"/>
          <w:lang w:val="en" w:eastAsia="zh-CN" w:bidi="ar-SA"/>
        </w:rPr>
        <w:t>强化证券分析师路演推介作用，帮助网下投资者更好地了解发行人基本面、行业可比公司、发行人盈利预测和估值情况。</w:t>
      </w:r>
      <w:r>
        <w:rPr>
          <w:rFonts w:hint="default" w:ascii="仿宋_GB2312" w:eastAsia="仿宋_GB2312" w:cs="Times New Roman"/>
          <w:sz w:val="32"/>
          <w:szCs w:val="32"/>
          <w:lang w:val="en" w:eastAsia="zh-CN"/>
        </w:rPr>
        <w:t>鼓励</w:t>
      </w:r>
      <w:r>
        <w:rPr>
          <w:rFonts w:hint="eastAsia" w:ascii="仿宋_GB2312" w:eastAsia="仿宋_GB2312" w:cs="Times New Roman"/>
          <w:sz w:val="32"/>
          <w:szCs w:val="32"/>
          <w:lang w:val="en" w:eastAsia="zh-CN"/>
        </w:rPr>
        <w:t>主承销商</w:t>
      </w:r>
      <w:r>
        <w:rPr>
          <w:rFonts w:hint="default" w:ascii="仿宋_GB2312" w:eastAsia="仿宋_GB2312" w:cs="Times New Roman"/>
          <w:sz w:val="32"/>
          <w:szCs w:val="32"/>
          <w:lang w:val="en" w:eastAsia="zh-CN"/>
        </w:rPr>
        <w:t>开展多次分析师路演。</w:t>
      </w:r>
      <w:r>
        <w:rPr>
          <w:rFonts w:hint="eastAsia" w:ascii="仿宋_GB2312" w:hAnsi="仿宋_GB2312" w:eastAsia="仿宋_GB2312" w:cs="仿宋_GB2312"/>
          <w:color w:val="auto"/>
          <w:kern w:val="0"/>
          <w:sz w:val="32"/>
          <w:szCs w:val="32"/>
          <w:lang w:val="en" w:eastAsia="zh-CN" w:bidi="ar-SA"/>
        </w:rPr>
        <w:t>三是</w:t>
      </w:r>
      <w:r>
        <w:rPr>
          <w:rFonts w:hint="eastAsia" w:ascii="仿宋_GB2312" w:hAnsi="仿宋_GB2312" w:eastAsia="仿宋_GB2312" w:cs="仿宋_GB2312"/>
          <w:b w:val="0"/>
          <w:bCs/>
          <w:color w:val="000000"/>
          <w:kern w:val="0"/>
          <w:sz w:val="32"/>
          <w:szCs w:val="32"/>
          <w:lang w:val="en-US" w:eastAsia="zh-CN" w:bidi="ar-SA"/>
        </w:rPr>
        <w:t>规定主承销商聘请律师的相关要求。</w:t>
      </w:r>
    </w:p>
    <w:p>
      <w:pPr>
        <w:pStyle w:val="2"/>
        <w:pageBreakBefore w:val="0"/>
        <w:widowControl w:val="0"/>
        <w:numPr>
          <w:ilvl w:val="0"/>
          <w:numId w:val="2"/>
        </w:numPr>
        <w:kinsoku/>
        <w:wordWrap/>
        <w:overflowPunct/>
        <w:topLinePunct w:val="0"/>
        <w:bidi w:val="0"/>
        <w:adjustRightInd/>
        <w:snapToGrid/>
        <w:spacing w:before="0" w:beforeLines="0" w:line="600" w:lineRule="atLeast"/>
        <w:ind w:firstLine="640" w:firstLineChars="200"/>
        <w:textAlignment w:val="auto"/>
        <w:rPr>
          <w:rFonts w:hint="eastAsia" w:ascii="楷体GB_2312" w:hAnsi="楷体GB_2312" w:eastAsia="楷体GB_2312" w:cs="楷体GB_2312"/>
          <w:sz w:val="32"/>
          <w:szCs w:val="32"/>
          <w:lang w:val="en-US" w:eastAsia="zh-CN"/>
        </w:rPr>
      </w:pPr>
      <w:r>
        <w:rPr>
          <w:rFonts w:hint="eastAsia" w:ascii="楷体GB_2312" w:hAnsi="楷体GB_2312" w:eastAsia="楷体GB_2312" w:cs="楷体GB_2312"/>
          <w:sz w:val="32"/>
          <w:szCs w:val="32"/>
          <w:lang w:val="en-US" w:eastAsia="zh-CN"/>
        </w:rPr>
        <w:t>规范发行定价与配售行为</w:t>
      </w:r>
    </w:p>
    <w:p>
      <w:pPr>
        <w:pageBreakBefore w:val="0"/>
        <w:widowControl w:val="0"/>
        <w:numPr>
          <w:ilvl w:val="0"/>
          <w:numId w:val="0"/>
        </w:numPr>
        <w:kinsoku/>
        <w:wordWrap/>
        <w:overflowPunct/>
        <w:topLinePunct w:val="0"/>
        <w:bidi w:val="0"/>
        <w:adjustRightInd/>
        <w:snapToGrid/>
        <w:spacing w:line="600" w:lineRule="atLeas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color w:val="000000"/>
          <w:kern w:val="0"/>
          <w:sz w:val="32"/>
          <w:szCs w:val="32"/>
          <w:lang w:val="en-US" w:eastAsia="zh-CN" w:bidi="ar-SA"/>
        </w:rPr>
        <w:t>一是细化主承销商对网下投资者的核查要求，规范主承销商对网下投资者报价进行簿记建档场所及管理的要求。二是规定</w:t>
      </w:r>
      <w:r>
        <w:rPr>
          <w:rFonts w:hint="eastAsia" w:ascii="仿宋_GB2312" w:hAnsi="仿宋_GB2312" w:eastAsia="仿宋_GB2312" w:cs="仿宋_GB2312"/>
          <w:color w:val="auto"/>
          <w:sz w:val="32"/>
          <w:szCs w:val="32"/>
        </w:rPr>
        <w:t>主承销商</w:t>
      </w:r>
      <w:r>
        <w:rPr>
          <w:rFonts w:hint="eastAsia" w:ascii="仿宋_GB2312" w:hAnsi="仿宋_GB2312" w:eastAsia="仿宋_GB2312" w:cs="仿宋_GB2312"/>
          <w:color w:val="auto"/>
          <w:sz w:val="32"/>
          <w:szCs w:val="32"/>
          <w:lang w:eastAsia="zh-CN"/>
        </w:rPr>
        <w:t>可以设置配售决策委员会，并明确委员会的组织构成、履行职责程序，细化配售原则的制定要求以及对参与战略配售的投资者、保荐机构相关子公司跟投等出具承诺函的核查要求。三是细化关于发行人和主承销商发行方案中采用超额配售选择权的规定。进一步明确主承销商义务，规范配售行为，督促其</w:t>
      </w:r>
      <w:r>
        <w:rPr>
          <w:rFonts w:hint="eastAsia" w:ascii="仿宋_GB2312" w:hAnsi="仿宋_GB2312" w:eastAsia="仿宋_GB2312" w:cs="仿宋_GB2312"/>
          <w:color w:val="auto"/>
          <w:sz w:val="32"/>
          <w:szCs w:val="32"/>
        </w:rPr>
        <w:t>加强配售过程管理</w:t>
      </w:r>
      <w:r>
        <w:rPr>
          <w:rFonts w:hint="eastAsia" w:ascii="仿宋_GB2312" w:hAnsi="仿宋_GB2312" w:eastAsia="仿宋_GB2312" w:cs="仿宋_GB2312"/>
          <w:color w:val="auto"/>
          <w:sz w:val="32"/>
          <w:szCs w:val="32"/>
          <w:lang w:eastAsia="zh-CN"/>
        </w:rPr>
        <w:t>。</w:t>
      </w:r>
    </w:p>
    <w:p>
      <w:pPr>
        <w:pStyle w:val="2"/>
        <w:pageBreakBefore w:val="0"/>
        <w:widowControl w:val="0"/>
        <w:numPr>
          <w:ilvl w:val="0"/>
          <w:numId w:val="2"/>
        </w:numPr>
        <w:kinsoku/>
        <w:wordWrap/>
        <w:overflowPunct/>
        <w:topLinePunct w:val="0"/>
        <w:bidi w:val="0"/>
        <w:adjustRightInd/>
        <w:snapToGrid/>
        <w:spacing w:before="0" w:beforeLines="0" w:line="600" w:lineRule="atLeast"/>
        <w:ind w:firstLine="640" w:firstLineChars="200"/>
        <w:textAlignment w:val="auto"/>
        <w:rPr>
          <w:rFonts w:hint="default" w:ascii="楷体GB_2312" w:hAnsi="楷体GB_2312" w:eastAsia="楷体GB_2312" w:cs="楷体GB_2312"/>
          <w:sz w:val="32"/>
          <w:szCs w:val="32"/>
          <w:lang w:val="en-US" w:eastAsia="zh-CN"/>
        </w:rPr>
      </w:pPr>
      <w:r>
        <w:rPr>
          <w:rFonts w:hint="eastAsia" w:ascii="楷体GB_2312" w:hAnsi="楷体GB_2312" w:eastAsia="楷体GB_2312" w:cs="楷体GB_2312"/>
          <w:sz w:val="32"/>
          <w:szCs w:val="32"/>
          <w:lang w:val="en-US" w:eastAsia="zh-CN"/>
        </w:rPr>
        <w:t>提高投资价值研究报告质量</w:t>
      </w:r>
    </w:p>
    <w:p>
      <w:pPr>
        <w:pageBreakBefore w:val="0"/>
        <w:widowControl w:val="0"/>
        <w:numPr>
          <w:ilvl w:val="0"/>
          <w:numId w:val="0"/>
        </w:numPr>
        <w:kinsoku/>
        <w:wordWrap/>
        <w:overflowPunct/>
        <w:topLinePunct w:val="0"/>
        <w:bidi w:val="0"/>
        <w:adjustRightInd/>
        <w:snapToGrid/>
        <w:spacing w:line="600" w:lineRule="atLeast"/>
        <w:ind w:firstLine="640" w:firstLineChars="200"/>
        <w:textAlignment w:val="auto"/>
        <w:rPr>
          <w:rFonts w:hint="default" w:ascii="仿宋_GB2312" w:eastAsia="仿宋_GB2312" w:cs="Times New Roman"/>
          <w:sz w:val="32"/>
          <w:szCs w:val="32"/>
          <w:lang w:val="en" w:eastAsia="zh-CN"/>
        </w:rPr>
      </w:pPr>
      <w:r>
        <w:rPr>
          <w:rFonts w:hint="eastAsia" w:ascii="仿宋_GB2312" w:hAnsi="仿宋_GB2312" w:eastAsia="仿宋_GB2312" w:cs="仿宋_GB2312"/>
          <w:color w:val="auto"/>
          <w:sz w:val="32"/>
          <w:szCs w:val="32"/>
          <w:lang w:val="en-US" w:eastAsia="zh-CN"/>
        </w:rPr>
        <w:t>一是明确主承销商提供</w:t>
      </w:r>
      <w:r>
        <w:rPr>
          <w:rFonts w:hint="default" w:ascii="仿宋_GB2312" w:hAnsi="仿宋_GB2312" w:eastAsia="仿宋_GB2312" w:cs="仿宋_GB2312"/>
          <w:color w:val="auto"/>
          <w:sz w:val="32"/>
          <w:szCs w:val="32"/>
          <w:lang w:val="en-US" w:eastAsia="zh-CN"/>
        </w:rPr>
        <w:t>投资价值研究报告</w:t>
      </w:r>
      <w:r>
        <w:rPr>
          <w:rFonts w:hint="eastAsia" w:ascii="仿宋_GB2312" w:hAnsi="仿宋_GB2312" w:eastAsia="仿宋_GB2312" w:cs="仿宋_GB2312"/>
          <w:color w:val="auto"/>
          <w:sz w:val="32"/>
          <w:szCs w:val="32"/>
          <w:lang w:val="en-US" w:eastAsia="zh-CN"/>
        </w:rPr>
        <w:t>的具体要求。报告内容</w:t>
      </w:r>
      <w:r>
        <w:rPr>
          <w:rFonts w:hint="eastAsia" w:ascii="仿宋_GB2312" w:eastAsia="仿宋_GB2312"/>
          <w:sz w:val="32"/>
          <w:szCs w:val="32"/>
        </w:rPr>
        <w:t>应至少包括盈利预测、发行人分析、发行人所在行业分析、募投项目分析、可比上市公司分析（如有）、风险提示六个部分</w:t>
      </w:r>
      <w:r>
        <w:rPr>
          <w:rFonts w:hint="eastAsia" w:ascii="仿宋_GB2312" w:eastAsia="仿宋_GB2312"/>
          <w:sz w:val="32"/>
          <w:szCs w:val="32"/>
          <w:lang w:eastAsia="zh-CN"/>
        </w:rPr>
        <w:t>，</w:t>
      </w:r>
      <w:r>
        <w:rPr>
          <w:rFonts w:hint="eastAsia" w:ascii="仿宋_GB2312" w:eastAsia="仿宋_GB2312"/>
          <w:sz w:val="32"/>
          <w:szCs w:val="32"/>
        </w:rPr>
        <w:t>可以根据需要选择是否给出估值</w:t>
      </w:r>
      <w:r>
        <w:rPr>
          <w:rFonts w:hint="eastAsia" w:ascii="仿宋_GB2312" w:eastAsia="仿宋_GB2312"/>
          <w:sz w:val="32"/>
          <w:szCs w:val="32"/>
          <w:lang w:eastAsia="zh-CN"/>
        </w:rPr>
        <w:t>分析</w:t>
      </w:r>
      <w:r>
        <w:rPr>
          <w:rFonts w:hint="eastAsia" w:ascii="仿宋_GB2312" w:eastAsia="仿宋_GB2312"/>
          <w:sz w:val="32"/>
          <w:szCs w:val="32"/>
        </w:rPr>
        <w:t>结论</w:t>
      </w:r>
      <w:r>
        <w:rPr>
          <w:rFonts w:hint="eastAsia" w:ascii="仿宋_GB2312" w:eastAsia="仿宋_GB2312"/>
          <w:sz w:val="32"/>
          <w:szCs w:val="32"/>
          <w:lang w:eastAsia="zh-CN"/>
        </w:rPr>
        <w:t>，并细化了相关内容的具体要求。二是</w:t>
      </w:r>
      <w:r>
        <w:rPr>
          <w:rFonts w:hint="eastAsia" w:ascii="仿宋_GB2312" w:eastAsia="仿宋_GB2312" w:cs="Times New Roman"/>
          <w:sz w:val="32"/>
          <w:szCs w:val="32"/>
          <w:lang w:val="en-US" w:eastAsia="zh-CN"/>
        </w:rPr>
        <w:t>对</w:t>
      </w:r>
      <w:r>
        <w:rPr>
          <w:rFonts w:hint="default" w:ascii="仿宋_GB2312" w:eastAsia="仿宋_GB2312" w:cs="Times New Roman"/>
          <w:sz w:val="32"/>
          <w:szCs w:val="32"/>
          <w:lang w:val="en-US" w:eastAsia="zh-CN"/>
        </w:rPr>
        <w:t>报告</w:t>
      </w:r>
      <w:r>
        <w:rPr>
          <w:rFonts w:hint="eastAsia" w:ascii="仿宋_GB2312" w:eastAsia="仿宋_GB2312" w:cs="Times New Roman"/>
          <w:sz w:val="32"/>
          <w:szCs w:val="32"/>
          <w:lang w:val="en-US" w:eastAsia="zh-CN"/>
        </w:rPr>
        <w:t>的提供方式、撰写原则、内部制度、证券分析师行为等作出规定。切实提高报告独立性、</w:t>
      </w:r>
      <w:r>
        <w:rPr>
          <w:rFonts w:hint="eastAsia" w:ascii="仿宋_GB2312" w:eastAsia="仿宋_GB2312" w:cs="Times New Roman"/>
          <w:sz w:val="32"/>
          <w:szCs w:val="32"/>
          <w:lang w:val="en" w:eastAsia="zh-CN"/>
        </w:rPr>
        <w:t>专业性、实用性</w:t>
      </w:r>
      <w:r>
        <w:rPr>
          <w:rFonts w:hint="eastAsia" w:ascii="仿宋_GB2312" w:eastAsia="仿宋_GB2312" w:cs="Times New Roman"/>
          <w:sz w:val="32"/>
          <w:szCs w:val="32"/>
          <w:lang w:val="en-US" w:eastAsia="zh-CN"/>
        </w:rPr>
        <w:t>，引导其发挥定价引导作用。</w:t>
      </w:r>
    </w:p>
    <w:p>
      <w:pPr>
        <w:pStyle w:val="2"/>
        <w:pageBreakBefore w:val="0"/>
        <w:widowControl w:val="0"/>
        <w:kinsoku/>
        <w:wordWrap/>
        <w:overflowPunct/>
        <w:topLinePunct w:val="0"/>
        <w:bidi w:val="0"/>
        <w:adjustRightInd/>
        <w:snapToGrid/>
        <w:spacing w:before="0" w:beforeLines="0" w:line="600" w:lineRule="atLeast"/>
        <w:ind w:firstLine="640" w:firstLineChars="200"/>
        <w:textAlignment w:val="auto"/>
        <w:rPr>
          <w:rFonts w:hint="default"/>
          <w:lang w:val="en-US" w:eastAsia="zh-CN"/>
        </w:rPr>
      </w:pPr>
      <w:r>
        <w:rPr>
          <w:rFonts w:hint="eastAsia" w:ascii="楷体GB_2312" w:hAnsi="楷体GB_2312" w:eastAsia="楷体GB_2312" w:cs="楷体GB_2312"/>
          <w:sz w:val="32"/>
          <w:szCs w:val="32"/>
          <w:lang w:val="en-US" w:eastAsia="zh-CN"/>
        </w:rPr>
        <w:t>（四）切实加强自律管理</w:t>
      </w:r>
    </w:p>
    <w:p>
      <w:pPr>
        <w:pStyle w:val="14"/>
        <w:keepNext w:val="0"/>
        <w:keepLines w:val="0"/>
        <w:pageBreakBefore w:val="0"/>
        <w:widowControl w:val="0"/>
        <w:kinsoku/>
        <w:wordWrap/>
        <w:overflowPunct/>
        <w:topLinePunct w:val="0"/>
        <w:bidi w:val="0"/>
        <w:adjustRightInd/>
        <w:snapToGrid/>
        <w:spacing w:line="600" w:lineRule="atLeast"/>
        <w:ind w:left="0" w:leftChars="0" w:firstLine="640" w:firstLineChars="200"/>
        <w:jc w:val="both"/>
        <w:textAlignment w:val="auto"/>
        <w:rPr>
          <w:rFonts w:hint="eastAsia" w:hAnsi="仿宋_GB2312" w:cs="仿宋_GB2312"/>
          <w:color w:val="auto"/>
          <w:sz w:val="32"/>
          <w:szCs w:val="32"/>
          <w:lang w:val="en" w:eastAsia="zh-CN"/>
        </w:rPr>
      </w:pPr>
      <w:r>
        <w:rPr>
          <w:rFonts w:hint="eastAsia" w:hAnsi="仿宋_GB2312" w:cs="仿宋_GB2312"/>
          <w:color w:val="auto"/>
          <w:kern w:val="0"/>
          <w:sz w:val="32"/>
          <w:szCs w:val="32"/>
          <w:lang w:val="en" w:eastAsia="zh-CN" w:bidi="ar-SA"/>
        </w:rPr>
        <w:t>一是</w:t>
      </w:r>
      <w:r>
        <w:rPr>
          <w:rFonts w:hint="default" w:hAnsi="仿宋_GB2312" w:cs="仿宋_GB2312"/>
          <w:color w:val="auto"/>
          <w:kern w:val="0"/>
          <w:sz w:val="32"/>
          <w:szCs w:val="32"/>
          <w:lang w:val="en" w:eastAsia="zh-CN" w:bidi="ar-SA"/>
        </w:rPr>
        <w:t>明确</w:t>
      </w:r>
      <w:r>
        <w:rPr>
          <w:rFonts w:hint="eastAsia" w:hAnsi="仿宋_GB2312" w:cs="仿宋_GB2312"/>
          <w:color w:val="auto"/>
          <w:kern w:val="0"/>
          <w:sz w:val="32"/>
          <w:szCs w:val="32"/>
          <w:lang w:val="en" w:eastAsia="zh-CN" w:bidi="ar-SA"/>
        </w:rPr>
        <w:t>承销商应当向协会报送</w:t>
      </w:r>
      <w:r>
        <w:rPr>
          <w:rFonts w:hint="eastAsia" w:ascii="仿宋_GB2312" w:hAnsi="仿宋_GB2312" w:eastAsia="仿宋_GB2312" w:cs="仿宋_GB2312"/>
          <w:color w:val="auto"/>
          <w:sz w:val="32"/>
          <w:szCs w:val="32"/>
          <w:highlight w:val="none"/>
        </w:rPr>
        <w:t>路演推介活动的初步方案</w:t>
      </w:r>
      <w:r>
        <w:rPr>
          <w:rFonts w:hint="eastAsia"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发行承销总结报告</w:t>
      </w:r>
      <w:r>
        <w:rPr>
          <w:rFonts w:hint="eastAsia" w:ascii="仿宋_GB2312" w:hAnsi="仿宋_GB2312" w:eastAsia="仿宋_GB2312" w:cs="仿宋_GB2312"/>
          <w:color w:val="auto"/>
          <w:sz w:val="32"/>
          <w:szCs w:val="32"/>
          <w:highlight w:val="none"/>
          <w:lang w:eastAsia="zh-CN"/>
        </w:rPr>
        <w:t>、超额配售选择权实施情况报告（如有</w:t>
      </w:r>
      <w:r>
        <w:rPr>
          <w:rFonts w:hint="eastAsia"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投资价值研究报告</w:t>
      </w:r>
      <w:r>
        <w:rPr>
          <w:rFonts w:hint="eastAsia" w:hAnsi="仿宋_GB2312" w:cs="仿宋_GB2312"/>
          <w:color w:val="auto"/>
          <w:sz w:val="32"/>
          <w:szCs w:val="32"/>
          <w:highlight w:val="none"/>
          <w:lang w:eastAsia="zh-CN"/>
        </w:rPr>
        <w:t>及总结情况</w:t>
      </w:r>
      <w:r>
        <w:rPr>
          <w:rFonts w:hint="default" w:hAnsi="仿宋_GB2312" w:cs="仿宋_GB2312"/>
          <w:color w:val="auto"/>
          <w:sz w:val="32"/>
          <w:szCs w:val="32"/>
          <w:highlight w:val="none"/>
          <w:lang w:val="en" w:eastAsia="zh-CN"/>
        </w:rPr>
        <w:t>，加强承销商</w:t>
      </w:r>
      <w:r>
        <w:rPr>
          <w:rFonts w:hint="eastAsia" w:ascii="仿宋_GB2312" w:hAnsi="仿宋_GB2312" w:eastAsia="仿宋_GB2312" w:cs="仿宋_GB2312"/>
          <w:color w:val="auto"/>
          <w:kern w:val="0"/>
          <w:sz w:val="32"/>
          <w:szCs w:val="32"/>
          <w:lang w:val="en" w:eastAsia="zh-CN" w:bidi="ar-SA"/>
        </w:rPr>
        <w:t>路演推介、发行与配售</w:t>
      </w:r>
      <w:r>
        <w:rPr>
          <w:rFonts w:hint="default" w:hAnsi="仿宋_GB2312" w:cs="仿宋_GB2312"/>
          <w:color w:val="auto"/>
          <w:kern w:val="0"/>
          <w:sz w:val="32"/>
          <w:szCs w:val="32"/>
          <w:lang w:val="en" w:eastAsia="zh-CN" w:bidi="ar-SA"/>
        </w:rPr>
        <w:t>环节管理，</w:t>
      </w:r>
      <w:r>
        <w:rPr>
          <w:rFonts w:hint="default" w:hAnsi="仿宋_GB2312" w:cs="仿宋_GB2312"/>
          <w:color w:val="auto"/>
          <w:sz w:val="32"/>
          <w:szCs w:val="32"/>
          <w:highlight w:val="none"/>
          <w:lang w:val="en" w:eastAsia="zh-CN"/>
        </w:rPr>
        <w:t>落实承销商责任。</w:t>
      </w:r>
      <w:r>
        <w:rPr>
          <w:rFonts w:hint="eastAsia" w:hAnsi="仿宋_GB2312" w:cs="仿宋_GB2312"/>
          <w:color w:val="auto"/>
          <w:sz w:val="32"/>
          <w:szCs w:val="32"/>
          <w:highlight w:val="none"/>
          <w:lang w:eastAsia="zh-CN"/>
        </w:rPr>
        <w:t>二是</w:t>
      </w:r>
      <w:r>
        <w:rPr>
          <w:rFonts w:hint="default" w:hAnsi="仿宋_GB2312" w:cs="仿宋_GB2312"/>
          <w:color w:val="auto"/>
          <w:sz w:val="32"/>
          <w:szCs w:val="32"/>
          <w:highlight w:val="none"/>
          <w:lang w:val="en" w:eastAsia="zh-CN"/>
        </w:rPr>
        <w:t>协会</w:t>
      </w:r>
      <w:r>
        <w:rPr>
          <w:rFonts w:hint="eastAsia" w:hAnsi="仿宋_GB2312" w:cs="仿宋_GB2312"/>
          <w:color w:val="auto"/>
          <w:sz w:val="32"/>
          <w:szCs w:val="32"/>
          <w:highlight w:val="none"/>
          <w:lang w:eastAsia="zh-CN"/>
        </w:rPr>
        <w:t>建立股票发行与承销观察员机制，</w:t>
      </w:r>
      <w:r>
        <w:rPr>
          <w:rFonts w:hint="eastAsia" w:hAnsi="仿宋_GB2312" w:cs="仿宋_GB2312"/>
          <w:color w:val="auto"/>
          <w:sz w:val="32"/>
          <w:szCs w:val="32"/>
          <w:lang w:eastAsia="zh-CN"/>
        </w:rPr>
        <w:t>督促</w:t>
      </w:r>
      <w:r>
        <w:rPr>
          <w:rFonts w:hint="eastAsia" w:hAnsi="仿宋_GB2312" w:cs="仿宋_GB2312"/>
          <w:color w:val="auto"/>
          <w:sz w:val="32"/>
          <w:szCs w:val="32"/>
          <w:highlight w:val="none"/>
          <w:lang w:eastAsia="zh-CN"/>
        </w:rPr>
        <w:t>承销商履职尽责，并向行业积极推广</w:t>
      </w:r>
      <w:r>
        <w:rPr>
          <w:rFonts w:hint="eastAsia" w:ascii="仿宋_GB2312" w:hAnsi="仿宋_GB2312" w:eastAsia="仿宋_GB2312" w:cs="仿宋_GB2312"/>
          <w:color w:val="auto"/>
          <w:sz w:val="32"/>
          <w:szCs w:val="32"/>
        </w:rPr>
        <w:t>发行与承销示范实践</w:t>
      </w:r>
      <w:r>
        <w:rPr>
          <w:rFonts w:hint="eastAsia" w:hAnsi="仿宋_GB2312" w:cs="仿宋_GB2312"/>
          <w:color w:val="auto"/>
          <w:sz w:val="32"/>
          <w:szCs w:val="32"/>
          <w:lang w:eastAsia="zh-CN"/>
        </w:rPr>
        <w:t>，引导行业对标提升</w:t>
      </w:r>
      <w:r>
        <w:rPr>
          <w:rFonts w:hint="eastAsia" w:hAnsi="仿宋_GB2312" w:cs="仿宋_GB2312"/>
          <w:color w:val="auto"/>
          <w:sz w:val="32"/>
          <w:szCs w:val="32"/>
          <w:highlight w:val="none"/>
          <w:lang w:eastAsia="zh-CN"/>
        </w:rPr>
        <w:t>。三是明确</w:t>
      </w:r>
      <w:r>
        <w:rPr>
          <w:rFonts w:hint="eastAsia" w:ascii="仿宋_GB2312" w:hAnsi="仿宋_GB2312" w:eastAsia="仿宋_GB2312" w:cs="仿宋_GB2312"/>
          <w:color w:val="auto"/>
          <w:sz w:val="32"/>
          <w:szCs w:val="32"/>
        </w:rPr>
        <w:t>承销商</w:t>
      </w:r>
      <w:r>
        <w:rPr>
          <w:rFonts w:hint="eastAsia" w:hAnsi="仿宋_GB2312" w:cs="仿宋_GB2312"/>
          <w:color w:val="auto"/>
          <w:sz w:val="32"/>
          <w:szCs w:val="32"/>
          <w:lang w:eastAsia="zh-CN"/>
        </w:rPr>
        <w:t>存档备查的承销资料要求与协会现场检查</w:t>
      </w:r>
      <w:r>
        <w:rPr>
          <w:rFonts w:hint="default" w:hAnsi="仿宋_GB2312" w:cs="仿宋_GB2312"/>
          <w:color w:val="auto"/>
          <w:sz w:val="32"/>
          <w:szCs w:val="32"/>
          <w:lang w:val="en" w:eastAsia="zh-CN"/>
        </w:rPr>
        <w:t>事项，加强自律检查标准管理</w:t>
      </w:r>
      <w:r>
        <w:rPr>
          <w:rFonts w:hint="eastAsia" w:hAnsi="仿宋_GB2312" w:cs="仿宋_GB2312"/>
          <w:color w:val="auto"/>
          <w:sz w:val="32"/>
          <w:szCs w:val="32"/>
          <w:lang w:eastAsia="zh-CN"/>
        </w:rPr>
        <w:t>。四是明确对违法违规行为的责任追究</w:t>
      </w:r>
      <w:r>
        <w:rPr>
          <w:rFonts w:hint="default" w:hAnsi="仿宋_GB2312" w:cs="仿宋_GB2312"/>
          <w:color w:val="auto"/>
          <w:sz w:val="32"/>
          <w:szCs w:val="32"/>
          <w:lang w:val="en" w:eastAsia="zh-CN"/>
        </w:rPr>
        <w:t>，净化行业生态</w:t>
      </w:r>
      <w:r>
        <w:rPr>
          <w:rFonts w:hint="eastAsia" w:hAnsi="仿宋_GB2312" w:cs="仿宋_GB2312"/>
          <w:color w:val="auto"/>
          <w:sz w:val="32"/>
          <w:szCs w:val="32"/>
          <w:lang w:val="en" w:eastAsia="zh-CN"/>
        </w:rPr>
        <w:t>。</w:t>
      </w:r>
    </w:p>
    <w:p>
      <w:pPr>
        <w:pStyle w:val="14"/>
        <w:keepNext w:val="0"/>
        <w:keepLines w:val="0"/>
        <w:pageBreakBefore w:val="0"/>
        <w:widowControl w:val="0"/>
        <w:kinsoku/>
        <w:wordWrap/>
        <w:overflowPunct/>
        <w:topLinePunct w:val="0"/>
        <w:bidi w:val="0"/>
        <w:adjustRightInd/>
        <w:snapToGrid/>
        <w:spacing w:line="600" w:lineRule="atLeast"/>
        <w:ind w:left="0" w:leftChars="0" w:firstLine="640" w:firstLineChars="200"/>
        <w:jc w:val="both"/>
        <w:textAlignment w:val="auto"/>
        <w:rPr>
          <w:rFonts w:hint="eastAsia" w:ascii="黑体" w:hAnsi="黑体" w:eastAsia="黑体" w:cs="黑体"/>
          <w:color w:val="auto"/>
          <w:sz w:val="32"/>
          <w:szCs w:val="32"/>
          <w:lang w:val="en" w:eastAsia="zh-CN"/>
        </w:rPr>
      </w:pPr>
      <w:r>
        <w:rPr>
          <w:rFonts w:hint="default" w:ascii="黑体" w:hAnsi="黑体" w:eastAsia="黑体" w:cs="黑体"/>
          <w:color w:val="auto"/>
          <w:sz w:val="32"/>
          <w:szCs w:val="32"/>
          <w:lang w:val="en" w:eastAsia="zh-CN"/>
        </w:rPr>
        <w:t>三、征求意见及采纳情况</w:t>
      </w:r>
    </w:p>
    <w:p>
      <w:pPr>
        <w:pStyle w:val="14"/>
        <w:keepNext w:val="0"/>
        <w:keepLines w:val="0"/>
        <w:pageBreakBefore w:val="0"/>
        <w:widowControl w:val="0"/>
        <w:kinsoku/>
        <w:wordWrap/>
        <w:overflowPunct/>
        <w:topLinePunct w:val="0"/>
        <w:bidi w:val="0"/>
        <w:adjustRightInd/>
        <w:snapToGrid/>
        <w:spacing w:line="600" w:lineRule="atLeast"/>
        <w:ind w:left="0" w:leftChars="0" w:firstLine="640" w:firstLineChars="200"/>
        <w:jc w:val="both"/>
        <w:textAlignment w:val="auto"/>
        <w:rPr>
          <w:rFonts w:hint="default" w:hAnsi="仿宋_GB2312" w:cs="仿宋_GB2312"/>
          <w:color w:val="auto"/>
          <w:kern w:val="0"/>
          <w:sz w:val="32"/>
          <w:szCs w:val="32"/>
          <w:lang w:val="en" w:eastAsia="zh-CN" w:bidi="ar-SA"/>
        </w:rPr>
      </w:pPr>
      <w:r>
        <w:rPr>
          <w:rFonts w:hint="default" w:hAnsi="仿宋_GB2312" w:cs="仿宋_GB2312"/>
          <w:color w:val="auto"/>
          <w:kern w:val="0"/>
          <w:sz w:val="32"/>
          <w:szCs w:val="32"/>
          <w:lang w:val="en" w:eastAsia="zh-CN" w:bidi="ar-SA"/>
        </w:rPr>
        <w:t>征求意见过程中，协会共收到27家证券公司90条意见，主要意见及采纳情况如下：</w:t>
      </w:r>
    </w:p>
    <w:p>
      <w:pPr>
        <w:pStyle w:val="2"/>
        <w:pageBreakBefore w:val="0"/>
        <w:widowControl w:val="0"/>
        <w:kinsoku/>
        <w:wordWrap/>
        <w:overflowPunct/>
        <w:topLinePunct w:val="0"/>
        <w:bidi w:val="0"/>
        <w:adjustRightInd/>
        <w:snapToGrid/>
        <w:spacing w:before="0" w:beforeLines="0" w:line="600" w:lineRule="atLeast"/>
        <w:ind w:firstLine="640" w:firstLineChars="200"/>
        <w:textAlignment w:val="auto"/>
        <w:rPr>
          <w:rFonts w:hint="default" w:ascii="楷体GB_2312" w:hAnsi="楷体GB_2312" w:eastAsia="楷体GB_2312" w:cs="楷体GB_2312"/>
          <w:sz w:val="32"/>
          <w:szCs w:val="32"/>
          <w:lang w:val="en" w:eastAsia="zh-CN"/>
        </w:rPr>
      </w:pPr>
      <w:r>
        <w:rPr>
          <w:rFonts w:hint="default" w:ascii="楷体GB_2312" w:hAnsi="楷体GB_2312" w:eastAsia="楷体GB_2312" w:cs="楷体GB_2312"/>
          <w:sz w:val="32"/>
          <w:szCs w:val="32"/>
          <w:lang w:val="en" w:eastAsia="zh-CN"/>
        </w:rPr>
        <w:t>（一）提前网下投资者路演推介时间</w:t>
      </w:r>
    </w:p>
    <w:p>
      <w:pPr>
        <w:pStyle w:val="14"/>
        <w:keepNext w:val="0"/>
        <w:keepLines w:val="0"/>
        <w:pageBreakBefore w:val="0"/>
        <w:widowControl w:val="0"/>
        <w:kinsoku/>
        <w:wordWrap/>
        <w:overflowPunct/>
        <w:topLinePunct w:val="0"/>
        <w:bidi w:val="0"/>
        <w:adjustRightInd/>
        <w:snapToGrid/>
        <w:spacing w:line="600" w:lineRule="atLeast"/>
        <w:ind w:left="0" w:leftChars="0" w:firstLine="640" w:firstLineChars="200"/>
        <w:jc w:val="both"/>
        <w:textAlignment w:val="auto"/>
        <w:rPr>
          <w:rFonts w:hint="default" w:hAnsi="华文中宋"/>
          <w:sz w:val="32"/>
          <w:szCs w:val="32"/>
          <w:lang w:val="en" w:eastAsia="zh-CN"/>
        </w:rPr>
      </w:pPr>
      <w:r>
        <w:rPr>
          <w:rFonts w:hint="default" w:hAnsi="仿宋_GB2312" w:cs="仿宋_GB2312"/>
          <w:color w:val="auto"/>
          <w:kern w:val="0"/>
          <w:sz w:val="32"/>
          <w:szCs w:val="32"/>
          <w:lang w:val="en" w:eastAsia="zh-CN" w:bidi="ar-SA"/>
        </w:rPr>
        <w:t>有意见提出，</w:t>
      </w:r>
      <w:r>
        <w:rPr>
          <w:rFonts w:hint="eastAsia" w:ascii="仿宋_GB2312" w:hAnsi="华文中宋" w:eastAsia="仿宋_GB2312"/>
          <w:sz w:val="32"/>
          <w:szCs w:val="32"/>
          <w:lang w:eastAsia="zh-CN"/>
        </w:rPr>
        <w:t>由于IPO 项目刊登招股意向书至询价之间通常间隔</w:t>
      </w:r>
      <w:r>
        <w:rPr>
          <w:rFonts w:hint="default" w:hAnsi="华文中宋"/>
          <w:sz w:val="32"/>
          <w:szCs w:val="32"/>
          <w:lang w:val="en" w:eastAsia="zh-CN"/>
        </w:rPr>
        <w:t>时间较短，</w:t>
      </w:r>
      <w:r>
        <w:rPr>
          <w:rFonts w:hint="eastAsia" w:ascii="仿宋_GB2312" w:hAnsi="华文中宋" w:eastAsia="仿宋_GB2312"/>
          <w:sz w:val="32"/>
          <w:szCs w:val="32"/>
          <w:lang w:eastAsia="zh-CN"/>
        </w:rPr>
        <w:t>网下投资者进行充分研判的时间较为仓促，建议取消刊登招股意向书之后进行网下投资者沟通的限制</w:t>
      </w:r>
      <w:r>
        <w:rPr>
          <w:rFonts w:hint="default" w:hAnsi="华文中宋"/>
          <w:sz w:val="32"/>
          <w:szCs w:val="32"/>
          <w:lang w:val="en" w:eastAsia="zh-CN"/>
        </w:rPr>
        <w:t>，</w:t>
      </w:r>
      <w:r>
        <w:rPr>
          <w:rFonts w:hint="eastAsia" w:ascii="仿宋_GB2312" w:hAnsi="华文中宋" w:eastAsia="仿宋_GB2312"/>
          <w:sz w:val="32"/>
          <w:szCs w:val="32"/>
          <w:lang w:eastAsia="zh-CN"/>
        </w:rPr>
        <w:t>修改为证监会同意注册后或</w:t>
      </w:r>
      <w:r>
        <w:rPr>
          <w:rFonts w:hint="default" w:hAnsi="华文中宋"/>
          <w:sz w:val="32"/>
          <w:szCs w:val="32"/>
          <w:lang w:val="en" w:eastAsia="zh-CN"/>
        </w:rPr>
        <w:t>交易所</w:t>
      </w:r>
      <w:r>
        <w:rPr>
          <w:rFonts w:hint="eastAsia" w:ascii="仿宋_GB2312" w:hAnsi="华文中宋" w:eastAsia="仿宋_GB2312"/>
          <w:sz w:val="32"/>
          <w:szCs w:val="32"/>
          <w:lang w:eastAsia="zh-CN"/>
        </w:rPr>
        <w:t>审核通过后</w:t>
      </w:r>
      <w:r>
        <w:rPr>
          <w:rFonts w:hint="default" w:hAnsi="华文中宋"/>
          <w:sz w:val="32"/>
          <w:szCs w:val="32"/>
          <w:lang w:val="en" w:eastAsia="zh-CN"/>
        </w:rPr>
        <w:t>。经与监管部门沟通，鼓励承销商在刊登招股意向书后，</w:t>
      </w:r>
      <w:r>
        <w:rPr>
          <w:rFonts w:hint="eastAsia" w:ascii="仿宋_GB2312" w:hAnsi="华文中宋" w:eastAsia="仿宋_GB2312"/>
          <w:sz w:val="32"/>
          <w:szCs w:val="32"/>
          <w:lang w:eastAsia="zh-CN"/>
        </w:rPr>
        <w:t>为注册制项目预留充足</w:t>
      </w:r>
      <w:r>
        <w:rPr>
          <w:rFonts w:hint="default" w:hAnsi="华文中宋"/>
          <w:sz w:val="32"/>
          <w:szCs w:val="32"/>
          <w:lang w:val="en" w:eastAsia="zh-CN"/>
        </w:rPr>
        <w:t>的</w:t>
      </w:r>
      <w:r>
        <w:rPr>
          <w:rFonts w:hint="eastAsia" w:ascii="仿宋_GB2312" w:hAnsi="华文中宋" w:eastAsia="仿宋_GB2312"/>
          <w:sz w:val="32"/>
          <w:szCs w:val="32"/>
          <w:lang w:eastAsia="zh-CN"/>
        </w:rPr>
        <w:t>路演时间</w:t>
      </w:r>
      <w:r>
        <w:rPr>
          <w:rFonts w:hint="default" w:hAnsi="华文中宋"/>
          <w:sz w:val="32"/>
          <w:szCs w:val="32"/>
          <w:lang w:val="en" w:eastAsia="zh-CN"/>
        </w:rPr>
        <w:t>，本次规则与</w:t>
      </w:r>
      <w:r>
        <w:rPr>
          <w:rFonts w:hint="eastAsia" w:ascii="仿宋_GB2312" w:hAnsi="华文中宋" w:eastAsia="仿宋_GB2312"/>
          <w:sz w:val="32"/>
          <w:szCs w:val="32"/>
          <w:lang w:val="en-US" w:eastAsia="zh-CN"/>
        </w:rPr>
        <w:t>《证券发行与承销管理办法》</w:t>
      </w:r>
      <w:r>
        <w:rPr>
          <w:rFonts w:hint="default" w:hAnsi="华文中宋"/>
          <w:sz w:val="32"/>
          <w:szCs w:val="32"/>
          <w:lang w:val="en" w:eastAsia="zh-CN"/>
        </w:rPr>
        <w:t>保持一致，暂不作调整。</w:t>
      </w:r>
    </w:p>
    <w:p>
      <w:pPr>
        <w:pStyle w:val="2"/>
        <w:pageBreakBefore w:val="0"/>
        <w:widowControl w:val="0"/>
        <w:kinsoku/>
        <w:wordWrap/>
        <w:overflowPunct/>
        <w:topLinePunct w:val="0"/>
        <w:bidi w:val="0"/>
        <w:adjustRightInd/>
        <w:snapToGrid/>
        <w:spacing w:before="0" w:beforeLines="0" w:line="600" w:lineRule="atLeast"/>
        <w:ind w:firstLine="640" w:firstLineChars="200"/>
        <w:textAlignment w:val="auto"/>
        <w:rPr>
          <w:rFonts w:hint="default" w:ascii="楷体GB_2312" w:hAnsi="楷体GB_2312" w:eastAsia="楷体GB_2312" w:cs="楷体GB_2312"/>
          <w:sz w:val="32"/>
          <w:szCs w:val="32"/>
          <w:lang w:val="en" w:eastAsia="zh-CN"/>
        </w:rPr>
      </w:pPr>
      <w:r>
        <w:rPr>
          <w:rFonts w:hint="default" w:ascii="楷体GB_2312" w:hAnsi="楷体GB_2312" w:eastAsia="楷体GB_2312" w:cs="楷体GB_2312"/>
          <w:sz w:val="32"/>
          <w:szCs w:val="32"/>
          <w:lang w:val="en" w:eastAsia="zh-CN"/>
        </w:rPr>
        <w:t>（二）明确网下投资者的核查要求</w:t>
      </w:r>
    </w:p>
    <w:p>
      <w:pPr>
        <w:pStyle w:val="14"/>
        <w:keepNext w:val="0"/>
        <w:keepLines w:val="0"/>
        <w:pageBreakBefore w:val="0"/>
        <w:widowControl w:val="0"/>
        <w:numPr>
          <w:ilvl w:val="0"/>
          <w:numId w:val="0"/>
        </w:numPr>
        <w:kinsoku/>
        <w:wordWrap/>
        <w:overflowPunct/>
        <w:topLinePunct w:val="0"/>
        <w:bidi w:val="0"/>
        <w:adjustRightInd/>
        <w:snapToGrid/>
        <w:spacing w:line="600" w:lineRule="atLeast"/>
        <w:ind w:firstLine="640" w:firstLineChars="200"/>
        <w:jc w:val="both"/>
        <w:textAlignment w:val="auto"/>
        <w:rPr>
          <w:rFonts w:hint="default" w:hAnsi="华文中宋"/>
          <w:sz w:val="32"/>
          <w:szCs w:val="32"/>
          <w:lang w:val="en" w:eastAsia="zh-CN"/>
        </w:rPr>
      </w:pPr>
      <w:r>
        <w:rPr>
          <w:rFonts w:hint="default" w:hAnsi="华文中宋"/>
          <w:sz w:val="32"/>
          <w:szCs w:val="32"/>
          <w:lang w:val="en" w:eastAsia="zh-CN"/>
        </w:rPr>
        <w:t>有意见提出，</w:t>
      </w:r>
      <w:r>
        <w:rPr>
          <w:rFonts w:hint="eastAsia" w:ascii="仿宋_GB2312" w:hAnsi="华文中宋" w:eastAsia="仿宋_GB2312"/>
          <w:sz w:val="32"/>
          <w:szCs w:val="32"/>
          <w:lang w:eastAsia="zh-CN"/>
        </w:rPr>
        <w:t>建议明确</w:t>
      </w:r>
      <w:r>
        <w:rPr>
          <w:rFonts w:hint="default" w:hAnsi="华文中宋"/>
          <w:sz w:val="32"/>
          <w:szCs w:val="32"/>
          <w:lang w:val="en" w:eastAsia="zh-CN"/>
        </w:rPr>
        <w:t>主承销商对网下投资者</w:t>
      </w:r>
      <w:r>
        <w:rPr>
          <w:rFonts w:hint="eastAsia" w:ascii="仿宋_GB2312" w:hAnsi="华文中宋" w:eastAsia="仿宋_GB2312"/>
          <w:sz w:val="32"/>
          <w:szCs w:val="32"/>
          <w:lang w:eastAsia="zh-CN"/>
        </w:rPr>
        <w:t>核查的程序及核查内容，明确现金资产</w:t>
      </w:r>
      <w:r>
        <w:rPr>
          <w:rFonts w:hint="default" w:hAnsi="华文中宋"/>
          <w:sz w:val="32"/>
          <w:szCs w:val="32"/>
          <w:lang w:val="en" w:eastAsia="zh-CN"/>
        </w:rPr>
        <w:t>的范围。经研究，已在协会《首次公开发行网下投资者管理规则》中予以明确，本规则不再作具体细化。</w:t>
      </w:r>
    </w:p>
    <w:p>
      <w:pPr>
        <w:pStyle w:val="14"/>
        <w:keepNext w:val="0"/>
        <w:keepLines w:val="0"/>
        <w:pageBreakBefore w:val="0"/>
        <w:widowControl w:val="0"/>
        <w:numPr>
          <w:ilvl w:val="0"/>
          <w:numId w:val="0"/>
        </w:numPr>
        <w:kinsoku/>
        <w:wordWrap/>
        <w:overflowPunct/>
        <w:topLinePunct w:val="0"/>
        <w:bidi w:val="0"/>
        <w:adjustRightInd/>
        <w:snapToGrid/>
        <w:spacing w:line="600" w:lineRule="atLeast"/>
        <w:ind w:leftChars="200" w:firstLine="160" w:firstLineChars="50"/>
        <w:jc w:val="both"/>
        <w:textAlignment w:val="auto"/>
        <w:rPr>
          <w:rFonts w:hint="default" w:ascii="楷体GB_2312" w:hAnsi="楷体GB_2312" w:eastAsia="楷体GB_2312" w:cs="楷体GB_2312"/>
          <w:color w:val="auto"/>
          <w:kern w:val="2"/>
          <w:sz w:val="32"/>
          <w:szCs w:val="32"/>
          <w:lang w:val="en" w:eastAsia="zh-CN" w:bidi="ar-SA"/>
        </w:rPr>
      </w:pPr>
      <w:r>
        <w:rPr>
          <w:rFonts w:hint="default" w:ascii="楷体GB_2312" w:hAnsi="楷体GB_2312" w:eastAsia="楷体GB_2312" w:cs="楷体GB_2312"/>
          <w:color w:val="auto"/>
          <w:kern w:val="2"/>
          <w:sz w:val="32"/>
          <w:szCs w:val="32"/>
          <w:lang w:val="en" w:eastAsia="zh-CN" w:bidi="ar-SA"/>
        </w:rPr>
        <w:t>（三）关于分析师撰写投价报告行为规范</w:t>
      </w:r>
    </w:p>
    <w:p>
      <w:pPr>
        <w:pStyle w:val="14"/>
        <w:keepNext w:val="0"/>
        <w:keepLines w:val="0"/>
        <w:pageBreakBefore w:val="0"/>
        <w:widowControl w:val="0"/>
        <w:numPr>
          <w:ilvl w:val="0"/>
          <w:numId w:val="0"/>
        </w:numPr>
        <w:kinsoku/>
        <w:wordWrap/>
        <w:overflowPunct/>
        <w:topLinePunct w:val="0"/>
        <w:bidi w:val="0"/>
        <w:adjustRightInd/>
        <w:snapToGrid/>
        <w:spacing w:line="600" w:lineRule="atLeast"/>
        <w:ind w:firstLine="640" w:firstLineChars="200"/>
        <w:jc w:val="both"/>
        <w:textAlignment w:val="auto"/>
        <w:rPr>
          <w:rFonts w:hint="default" w:hAnsi="华文中宋"/>
          <w:sz w:val="32"/>
          <w:szCs w:val="32"/>
          <w:lang w:val="en" w:eastAsia="zh-CN"/>
        </w:rPr>
      </w:pPr>
      <w:r>
        <w:rPr>
          <w:rFonts w:hint="default" w:hAnsi="华文中宋"/>
          <w:sz w:val="32"/>
          <w:szCs w:val="32"/>
          <w:lang w:val="en" w:eastAsia="zh-CN"/>
        </w:rPr>
        <w:t>为进一步规范分析师行为，本次征求意见稿新增“证券分析师实地调研发行人的，应当有合规审查人员陪同”要求。有意见提出，证券公司合规人员数量有限，该条款执行难度较大，此外证券公司普遍建立了规范证券分析师参与投资价值研究报告撰写工作机制，合规审查人员陪同实地调研的必要性不大，因此建议删除该条款。经研究，采纳上述意见，不再新增此规定。</w:t>
      </w:r>
    </w:p>
    <w:p>
      <w:pPr>
        <w:pStyle w:val="14"/>
        <w:keepNext w:val="0"/>
        <w:keepLines w:val="0"/>
        <w:pageBreakBefore w:val="0"/>
        <w:widowControl w:val="0"/>
        <w:numPr>
          <w:ilvl w:val="0"/>
          <w:numId w:val="2"/>
        </w:numPr>
        <w:kinsoku/>
        <w:wordWrap/>
        <w:overflowPunct/>
        <w:topLinePunct w:val="0"/>
        <w:bidi w:val="0"/>
        <w:adjustRightInd/>
        <w:snapToGrid/>
        <w:spacing w:line="600" w:lineRule="atLeast"/>
        <w:ind w:left="0" w:leftChars="0" w:firstLine="640" w:firstLineChars="200"/>
        <w:jc w:val="both"/>
        <w:textAlignment w:val="auto"/>
        <w:rPr>
          <w:rFonts w:hint="eastAsia" w:ascii="楷体GB_2312" w:hAnsi="楷体GB_2312" w:eastAsia="楷体GB_2312" w:cs="楷体GB_2312"/>
          <w:color w:val="auto"/>
          <w:kern w:val="2"/>
          <w:sz w:val="32"/>
          <w:szCs w:val="32"/>
          <w:lang w:val="en" w:eastAsia="zh-CN" w:bidi="ar-SA"/>
        </w:rPr>
      </w:pPr>
      <w:r>
        <w:rPr>
          <w:rFonts w:hint="eastAsia" w:ascii="楷体GB_2312" w:hAnsi="楷体GB_2312" w:eastAsia="楷体GB_2312" w:cs="楷体GB_2312"/>
          <w:color w:val="auto"/>
          <w:kern w:val="2"/>
          <w:sz w:val="32"/>
          <w:szCs w:val="32"/>
          <w:lang w:val="en" w:eastAsia="zh-CN" w:bidi="ar-SA"/>
        </w:rPr>
        <w:t>聘请律师责任</w:t>
      </w:r>
    </w:p>
    <w:p>
      <w:pPr>
        <w:ind w:firstLine="640" w:firstLineChars="200"/>
        <w:rPr>
          <w:rFonts w:hint="default" w:ascii="仿宋_GB2312" w:hAnsi="华文中宋" w:eastAsia="仿宋_GB2312"/>
          <w:b w:val="0"/>
          <w:bCs w:val="0"/>
          <w:sz w:val="32"/>
          <w:szCs w:val="32"/>
          <w:lang w:val="en" w:eastAsia="zh-CN"/>
        </w:rPr>
      </w:pPr>
      <w:r>
        <w:rPr>
          <w:rFonts w:hint="eastAsia" w:ascii="仿宋_GB2312" w:hAnsi="华文中宋" w:eastAsia="仿宋_GB2312"/>
          <w:b w:val="0"/>
          <w:bCs w:val="0"/>
          <w:sz w:val="32"/>
          <w:szCs w:val="32"/>
        </w:rPr>
        <w:t>有意见提出，</w:t>
      </w:r>
      <w:r>
        <w:rPr>
          <w:rFonts w:hint="eastAsia" w:ascii="仿宋_GB2312" w:hAnsi="华文中宋" w:eastAsia="仿宋_GB2312"/>
          <w:b w:val="0"/>
          <w:bCs w:val="0"/>
          <w:sz w:val="32"/>
          <w:szCs w:val="32"/>
          <w:lang w:eastAsia="zh-CN"/>
        </w:rPr>
        <w:t>针对</w:t>
      </w:r>
      <w:r>
        <w:rPr>
          <w:rFonts w:hint="eastAsia" w:ascii="仿宋_GB2312" w:hAnsi="华文中宋" w:eastAsia="仿宋_GB2312"/>
          <w:b w:val="0"/>
          <w:bCs w:val="0"/>
          <w:sz w:val="32"/>
          <w:szCs w:val="32"/>
        </w:rPr>
        <w:t>“主承销商应当对律师事务所的独立性和专业性进行审慎调查”</w:t>
      </w:r>
      <w:r>
        <w:rPr>
          <w:rFonts w:hint="eastAsia" w:ascii="仿宋_GB2312" w:hAnsi="华文中宋" w:eastAsia="仿宋_GB2312"/>
          <w:b w:val="0"/>
          <w:bCs w:val="0"/>
          <w:sz w:val="32"/>
          <w:szCs w:val="32"/>
          <w:lang w:eastAsia="zh-CN"/>
        </w:rPr>
        <w:t>条款，明确律师事务所专业性标准。有意见提出，针对“主承</w:t>
      </w:r>
      <w:r>
        <w:rPr>
          <w:rFonts w:hint="eastAsia" w:ascii="仿宋_GB2312" w:hAnsi="华文中宋" w:eastAsia="仿宋_GB2312"/>
          <w:sz w:val="32"/>
          <w:szCs w:val="32"/>
          <w:lang w:eastAsia="zh-CN"/>
        </w:rPr>
        <w:t>销商应当聘请律师事务所对发行及承销全程进行见证，并出具专项法律意见书”条款，明确有多个主承销商情形的，仅由牵头主承销商聘请律师见证发行承销过程。经研究，</w:t>
      </w:r>
      <w:r>
        <w:rPr>
          <w:rFonts w:hint="default" w:ascii="仿宋_GB2312" w:hAnsi="华文中宋" w:eastAsia="仿宋_GB2312"/>
          <w:sz w:val="32"/>
          <w:szCs w:val="32"/>
          <w:lang w:val="en" w:eastAsia="zh-CN"/>
        </w:rPr>
        <w:t>本</w:t>
      </w:r>
      <w:r>
        <w:rPr>
          <w:rFonts w:hint="eastAsia" w:ascii="仿宋_GB2312" w:hAnsi="华文中宋" w:eastAsia="仿宋_GB2312"/>
          <w:sz w:val="32"/>
          <w:szCs w:val="32"/>
          <w:lang w:eastAsia="zh-CN"/>
        </w:rPr>
        <w:t>规则规范主体为证券公司，</w:t>
      </w:r>
      <w:r>
        <w:rPr>
          <w:rFonts w:hint="default" w:ascii="仿宋_GB2312" w:hAnsi="华文中宋" w:eastAsia="仿宋_GB2312"/>
          <w:sz w:val="32"/>
          <w:szCs w:val="32"/>
          <w:lang w:val="en" w:eastAsia="zh-CN"/>
        </w:rPr>
        <w:t>且</w:t>
      </w:r>
      <w:r>
        <w:rPr>
          <w:rFonts w:hint="eastAsia" w:ascii="仿宋_GB2312" w:hAnsi="华文中宋" w:eastAsia="仿宋_GB2312"/>
          <w:sz w:val="32"/>
          <w:szCs w:val="32"/>
          <w:lang w:eastAsia="zh-CN"/>
        </w:rPr>
        <w:t>非牵头的主承销</w:t>
      </w:r>
      <w:r>
        <w:rPr>
          <w:rFonts w:hint="eastAsia" w:ascii="仿宋_GB2312" w:hAnsi="华文中宋" w:eastAsia="仿宋_GB2312"/>
          <w:b w:val="0"/>
          <w:bCs w:val="0"/>
          <w:sz w:val="32"/>
          <w:szCs w:val="32"/>
          <w:lang w:eastAsia="zh-CN"/>
        </w:rPr>
        <w:t>商</w:t>
      </w:r>
      <w:r>
        <w:rPr>
          <w:rFonts w:hint="default" w:ascii="仿宋_GB2312" w:hAnsi="华文中宋" w:eastAsia="仿宋_GB2312"/>
          <w:b w:val="0"/>
          <w:bCs w:val="0"/>
          <w:sz w:val="32"/>
          <w:szCs w:val="32"/>
          <w:lang w:val="en" w:eastAsia="zh-CN"/>
        </w:rPr>
        <w:t>均</w:t>
      </w:r>
      <w:r>
        <w:rPr>
          <w:rFonts w:hint="eastAsia" w:ascii="仿宋_GB2312" w:hAnsi="华文中宋" w:eastAsia="仿宋_GB2312"/>
          <w:b w:val="0"/>
          <w:bCs w:val="0"/>
          <w:sz w:val="32"/>
          <w:szCs w:val="32"/>
          <w:lang w:eastAsia="zh-CN"/>
        </w:rPr>
        <w:t>参与发行承销过程，</w:t>
      </w:r>
      <w:r>
        <w:rPr>
          <w:rFonts w:hint="default" w:ascii="仿宋_GB2312" w:hAnsi="华文中宋" w:eastAsia="仿宋_GB2312"/>
          <w:b w:val="0"/>
          <w:bCs w:val="0"/>
          <w:sz w:val="32"/>
          <w:szCs w:val="32"/>
          <w:lang w:val="en" w:eastAsia="zh-CN"/>
        </w:rPr>
        <w:t>保持原表述，暂不作调整。</w:t>
      </w:r>
    </w:p>
    <w:p>
      <w:pPr>
        <w:ind w:firstLine="640" w:firstLineChars="200"/>
        <w:rPr>
          <w:rFonts w:hint="default" w:ascii="仿宋_GB2312" w:hAnsi="华文中宋" w:eastAsia="仿宋_GB2312"/>
          <w:b w:val="0"/>
          <w:bCs w:val="0"/>
          <w:sz w:val="32"/>
          <w:szCs w:val="32"/>
          <w:lang w:val="en" w:eastAsia="zh-CN"/>
        </w:rPr>
      </w:pPr>
      <w:r>
        <w:rPr>
          <w:rFonts w:hint="default" w:ascii="仿宋_GB2312" w:hAnsi="华文中宋" w:eastAsia="仿宋_GB2312"/>
          <w:b w:val="0"/>
          <w:bCs w:val="0"/>
          <w:sz w:val="32"/>
          <w:szCs w:val="32"/>
          <w:lang w:val="en" w:eastAsia="zh-CN"/>
        </w:rPr>
        <w:t>此外，有意见提出修改超额配售选择权材料报送时间要求、明确投价报告总结情况中“归母净利润”口径、优化</w:t>
      </w:r>
      <w:r>
        <w:rPr>
          <w:rFonts w:hint="eastAsia" w:ascii="仿宋_GB2312" w:hAnsi="华文中宋" w:eastAsia="仿宋_GB2312"/>
          <w:b w:val="0"/>
          <w:bCs w:val="0"/>
          <w:sz w:val="32"/>
          <w:szCs w:val="32"/>
          <w:lang w:eastAsia="zh-CN"/>
        </w:rPr>
        <w:t>簿记建档管理</w:t>
      </w:r>
      <w:r>
        <w:rPr>
          <w:rFonts w:hint="default" w:ascii="仿宋_GB2312" w:hAnsi="华文中宋" w:eastAsia="仿宋_GB2312"/>
          <w:b w:val="0"/>
          <w:bCs w:val="0"/>
          <w:sz w:val="32"/>
          <w:szCs w:val="32"/>
          <w:lang w:val="en" w:eastAsia="zh-CN"/>
        </w:rPr>
        <w:t>部分表述、调整个别文字等，均一一采纳。</w:t>
      </w:r>
    </w:p>
    <w:p>
      <w:pPr>
        <w:pStyle w:val="2"/>
        <w:rPr>
          <w:rFonts w:hint="default"/>
          <w:lang w:val="en" w:eastAsia="zh-CN"/>
        </w:rPr>
      </w:pPr>
      <w:r>
        <w:rPr>
          <w:rFonts w:hint="default" w:ascii="仿宋_GB2312" w:hAnsi="华文中宋" w:eastAsia="仿宋_GB2312"/>
          <w:b w:val="0"/>
          <w:bCs w:val="0"/>
          <w:sz w:val="32"/>
          <w:szCs w:val="32"/>
          <w:lang w:val="en" w:eastAsia="zh-CN"/>
        </w:rPr>
        <w:t xml:space="preserve">    </w:t>
      </w:r>
    </w:p>
    <w:p>
      <w:pPr>
        <w:ind w:firstLine="640" w:firstLineChars="200"/>
        <w:rPr>
          <w:rFonts w:hint="default" w:ascii="仿宋_GB2312" w:hAnsi="华文中宋" w:eastAsia="仿宋_GB2312"/>
          <w:b w:val="0"/>
          <w:bCs w:val="0"/>
          <w:sz w:val="32"/>
          <w:szCs w:val="32"/>
          <w:lang w:val="en" w:eastAsia="zh-CN"/>
        </w:rPr>
      </w:pPr>
    </w:p>
    <w:p>
      <w:pPr>
        <w:pStyle w:val="14"/>
        <w:keepNext w:val="0"/>
        <w:keepLines w:val="0"/>
        <w:pageBreakBefore w:val="0"/>
        <w:widowControl w:val="0"/>
        <w:numPr>
          <w:ilvl w:val="0"/>
          <w:numId w:val="0"/>
        </w:numPr>
        <w:kinsoku/>
        <w:wordWrap/>
        <w:overflowPunct/>
        <w:topLinePunct w:val="0"/>
        <w:bidi w:val="0"/>
        <w:adjustRightInd/>
        <w:snapToGrid/>
        <w:spacing w:line="600" w:lineRule="atLeast"/>
        <w:ind w:firstLine="640" w:firstLineChars="200"/>
        <w:jc w:val="both"/>
        <w:textAlignment w:val="auto"/>
        <w:rPr>
          <w:rFonts w:hint="default" w:hAnsi="华文中宋"/>
          <w:sz w:val="32"/>
          <w:szCs w:val="32"/>
          <w:lang w:val="en"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imes New Roma">
    <w:altName w:val="Nimbus Roman No9 L"/>
    <w:panose1 w:val="00000000000000000000"/>
    <w:charset w:val="00"/>
    <w:family w:val="auto"/>
    <w:pitch w:val="default"/>
    <w:sig w:usb0="00000000" w:usb1="00000000" w:usb2="00000000" w:usb3="00000000" w:csb0="00040001" w:csb1="00000000"/>
  </w:font>
  <w:font w:name="楷体GB_2312">
    <w:altName w:val="楷体"/>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BAC85C"/>
    <w:multiLevelType w:val="singleLevel"/>
    <w:tmpl w:val="69BAC85C"/>
    <w:lvl w:ilvl="0" w:tentative="0">
      <w:start w:val="2"/>
      <w:numFmt w:val="chineseCounting"/>
      <w:suff w:val="nothing"/>
      <w:lvlText w:val="（%1）"/>
      <w:lvlJc w:val="left"/>
      <w:rPr>
        <w:rFonts w:hint="eastAsia"/>
      </w:rPr>
    </w:lvl>
  </w:abstractNum>
  <w:abstractNum w:abstractNumId="1">
    <w:nsid w:val="6D6F796E"/>
    <w:multiLevelType w:val="singleLevel"/>
    <w:tmpl w:val="6D6F796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183"/>
    <w:rsid w:val="002E4B30"/>
    <w:rsid w:val="00312562"/>
    <w:rsid w:val="00352F25"/>
    <w:rsid w:val="00371C3A"/>
    <w:rsid w:val="003B5E7E"/>
    <w:rsid w:val="003E6DE6"/>
    <w:rsid w:val="00443A61"/>
    <w:rsid w:val="004B5520"/>
    <w:rsid w:val="005B6329"/>
    <w:rsid w:val="00606B88"/>
    <w:rsid w:val="006F0CCA"/>
    <w:rsid w:val="007971EA"/>
    <w:rsid w:val="007B197E"/>
    <w:rsid w:val="007C39E9"/>
    <w:rsid w:val="007F29B0"/>
    <w:rsid w:val="00820124"/>
    <w:rsid w:val="00897183"/>
    <w:rsid w:val="00944582"/>
    <w:rsid w:val="009E52D7"/>
    <w:rsid w:val="00B951B6"/>
    <w:rsid w:val="00C31705"/>
    <w:rsid w:val="00C618C2"/>
    <w:rsid w:val="00C8661B"/>
    <w:rsid w:val="00CA3A63"/>
    <w:rsid w:val="00CB6524"/>
    <w:rsid w:val="00D3728B"/>
    <w:rsid w:val="00E21B0D"/>
    <w:rsid w:val="00ED5290"/>
    <w:rsid w:val="00F4083E"/>
    <w:rsid w:val="07DA9FAA"/>
    <w:rsid w:val="07F26710"/>
    <w:rsid w:val="0AF5048C"/>
    <w:rsid w:val="0FAFF1DD"/>
    <w:rsid w:val="0FBD640F"/>
    <w:rsid w:val="0FF78347"/>
    <w:rsid w:val="17FD316A"/>
    <w:rsid w:val="1CF3A777"/>
    <w:rsid w:val="1D978D42"/>
    <w:rsid w:val="1DFDE3B3"/>
    <w:rsid w:val="1EBB8062"/>
    <w:rsid w:val="1ED30A20"/>
    <w:rsid w:val="1EDFC315"/>
    <w:rsid w:val="1EF53B32"/>
    <w:rsid w:val="1FD1205E"/>
    <w:rsid w:val="1FEB1B4C"/>
    <w:rsid w:val="1FFF9D3A"/>
    <w:rsid w:val="27EB063A"/>
    <w:rsid w:val="27FF9D9B"/>
    <w:rsid w:val="28F6E778"/>
    <w:rsid w:val="2DB81988"/>
    <w:rsid w:val="2DD532C0"/>
    <w:rsid w:val="2EB47DDB"/>
    <w:rsid w:val="2EBF6A55"/>
    <w:rsid w:val="2FD7DB0F"/>
    <w:rsid w:val="2FFD8C64"/>
    <w:rsid w:val="33BB81F9"/>
    <w:rsid w:val="34EFAB18"/>
    <w:rsid w:val="35FBA3AA"/>
    <w:rsid w:val="371F4787"/>
    <w:rsid w:val="373FDCA9"/>
    <w:rsid w:val="37971865"/>
    <w:rsid w:val="37B6D80E"/>
    <w:rsid w:val="39DFD70C"/>
    <w:rsid w:val="39FBE2A1"/>
    <w:rsid w:val="3A599BBB"/>
    <w:rsid w:val="3BC5096F"/>
    <w:rsid w:val="3BCF86F8"/>
    <w:rsid w:val="3BDF0B92"/>
    <w:rsid w:val="3BFF3B8C"/>
    <w:rsid w:val="3BFF7278"/>
    <w:rsid w:val="3C7727AB"/>
    <w:rsid w:val="3CFEC80F"/>
    <w:rsid w:val="3DBE9811"/>
    <w:rsid w:val="3DCB0DFB"/>
    <w:rsid w:val="3DDBD6F7"/>
    <w:rsid w:val="3E3D1538"/>
    <w:rsid w:val="3E7F43A5"/>
    <w:rsid w:val="3EAB0813"/>
    <w:rsid w:val="3EF734ED"/>
    <w:rsid w:val="3EFF37FD"/>
    <w:rsid w:val="3F5D22D7"/>
    <w:rsid w:val="3F773155"/>
    <w:rsid w:val="3F7CCFCD"/>
    <w:rsid w:val="3FBB7C21"/>
    <w:rsid w:val="3FDF368A"/>
    <w:rsid w:val="3FF38593"/>
    <w:rsid w:val="3FF4FCD5"/>
    <w:rsid w:val="3FFB7ADC"/>
    <w:rsid w:val="455F409F"/>
    <w:rsid w:val="45A72DA5"/>
    <w:rsid w:val="4ADE0070"/>
    <w:rsid w:val="4BDE58D9"/>
    <w:rsid w:val="4C2DB8A7"/>
    <w:rsid w:val="4CFBF517"/>
    <w:rsid w:val="4EBF76D0"/>
    <w:rsid w:val="4ED2C4C8"/>
    <w:rsid w:val="4EE48ECA"/>
    <w:rsid w:val="4FB73A49"/>
    <w:rsid w:val="4FF588A8"/>
    <w:rsid w:val="52FC30C4"/>
    <w:rsid w:val="536F74DA"/>
    <w:rsid w:val="53BB4815"/>
    <w:rsid w:val="54D323AC"/>
    <w:rsid w:val="55E5E30B"/>
    <w:rsid w:val="57773324"/>
    <w:rsid w:val="577F84F0"/>
    <w:rsid w:val="57D7CD81"/>
    <w:rsid w:val="57FF516F"/>
    <w:rsid w:val="5867C03A"/>
    <w:rsid w:val="587D4D72"/>
    <w:rsid w:val="5C8D2207"/>
    <w:rsid w:val="5DFB549E"/>
    <w:rsid w:val="5DFFF5BC"/>
    <w:rsid w:val="5E7F2467"/>
    <w:rsid w:val="5EA7C95C"/>
    <w:rsid w:val="5EDF62DD"/>
    <w:rsid w:val="5EFF99A6"/>
    <w:rsid w:val="5EFFE4A8"/>
    <w:rsid w:val="5F3FD908"/>
    <w:rsid w:val="5F736A24"/>
    <w:rsid w:val="5F77A515"/>
    <w:rsid w:val="5F7B680B"/>
    <w:rsid w:val="5FBC660A"/>
    <w:rsid w:val="5FCF0D90"/>
    <w:rsid w:val="5FD34A36"/>
    <w:rsid w:val="5FDDD12F"/>
    <w:rsid w:val="5FFF2FA5"/>
    <w:rsid w:val="657FE72B"/>
    <w:rsid w:val="67776A44"/>
    <w:rsid w:val="67AF2966"/>
    <w:rsid w:val="69DBAFF9"/>
    <w:rsid w:val="69F7570B"/>
    <w:rsid w:val="6A57A68A"/>
    <w:rsid w:val="6B7F907D"/>
    <w:rsid w:val="6D2FA37C"/>
    <w:rsid w:val="6D5EFB83"/>
    <w:rsid w:val="6DDE36ED"/>
    <w:rsid w:val="6DFF4141"/>
    <w:rsid w:val="6EFB05DF"/>
    <w:rsid w:val="6F2FC95D"/>
    <w:rsid w:val="6F5F01C3"/>
    <w:rsid w:val="6F7A4679"/>
    <w:rsid w:val="6FBD7F32"/>
    <w:rsid w:val="6FEE76BD"/>
    <w:rsid w:val="6FF6329F"/>
    <w:rsid w:val="726E624C"/>
    <w:rsid w:val="727FE2CF"/>
    <w:rsid w:val="72FD8829"/>
    <w:rsid w:val="73BFDF59"/>
    <w:rsid w:val="73FEDBEB"/>
    <w:rsid w:val="749BE8D8"/>
    <w:rsid w:val="755C0953"/>
    <w:rsid w:val="758D6B86"/>
    <w:rsid w:val="75FF7420"/>
    <w:rsid w:val="76BD00CF"/>
    <w:rsid w:val="76CBE0EF"/>
    <w:rsid w:val="76D6CDC1"/>
    <w:rsid w:val="76F682F2"/>
    <w:rsid w:val="76FE80D6"/>
    <w:rsid w:val="777A83C7"/>
    <w:rsid w:val="77BB4737"/>
    <w:rsid w:val="77BB5152"/>
    <w:rsid w:val="77DD7D11"/>
    <w:rsid w:val="77F4BBE4"/>
    <w:rsid w:val="77FDAB7B"/>
    <w:rsid w:val="77FFA1A7"/>
    <w:rsid w:val="787F59D0"/>
    <w:rsid w:val="78F8BE86"/>
    <w:rsid w:val="796D8F6D"/>
    <w:rsid w:val="79DFC3CC"/>
    <w:rsid w:val="79FFEC6B"/>
    <w:rsid w:val="7A7D4DCF"/>
    <w:rsid w:val="7B35DF4B"/>
    <w:rsid w:val="7B77C297"/>
    <w:rsid w:val="7BAD4177"/>
    <w:rsid w:val="7BBBFC69"/>
    <w:rsid w:val="7BBE4807"/>
    <w:rsid w:val="7BBF1F30"/>
    <w:rsid w:val="7BD7556C"/>
    <w:rsid w:val="7BF3ACC9"/>
    <w:rsid w:val="7BF903F8"/>
    <w:rsid w:val="7BFA097E"/>
    <w:rsid w:val="7BFE6585"/>
    <w:rsid w:val="7CDF097A"/>
    <w:rsid w:val="7CF78E5A"/>
    <w:rsid w:val="7D2AC233"/>
    <w:rsid w:val="7D6F2730"/>
    <w:rsid w:val="7D993285"/>
    <w:rsid w:val="7D9A3CE0"/>
    <w:rsid w:val="7DBC0078"/>
    <w:rsid w:val="7DCB51DE"/>
    <w:rsid w:val="7DCDB22A"/>
    <w:rsid w:val="7DDF328F"/>
    <w:rsid w:val="7DE735F9"/>
    <w:rsid w:val="7DF6B6DE"/>
    <w:rsid w:val="7DFFDF43"/>
    <w:rsid w:val="7E3758EA"/>
    <w:rsid w:val="7E573240"/>
    <w:rsid w:val="7E6726CD"/>
    <w:rsid w:val="7EDD206D"/>
    <w:rsid w:val="7EDFCC34"/>
    <w:rsid w:val="7EE3E882"/>
    <w:rsid w:val="7EE6405B"/>
    <w:rsid w:val="7EFFACC4"/>
    <w:rsid w:val="7F5E3432"/>
    <w:rsid w:val="7F5EC4DB"/>
    <w:rsid w:val="7F6A29DC"/>
    <w:rsid w:val="7F6F1274"/>
    <w:rsid w:val="7F7713DB"/>
    <w:rsid w:val="7F7F7635"/>
    <w:rsid w:val="7F993CA3"/>
    <w:rsid w:val="7F9F5071"/>
    <w:rsid w:val="7FAF87BE"/>
    <w:rsid w:val="7FB59713"/>
    <w:rsid w:val="7FBE15A4"/>
    <w:rsid w:val="7FD3223A"/>
    <w:rsid w:val="7FD67C1A"/>
    <w:rsid w:val="7FEF6BF2"/>
    <w:rsid w:val="7FF502CC"/>
    <w:rsid w:val="7FF7046D"/>
    <w:rsid w:val="7FF71488"/>
    <w:rsid w:val="7FFB7545"/>
    <w:rsid w:val="7FFD259C"/>
    <w:rsid w:val="7FFDD45B"/>
    <w:rsid w:val="7FFF2E9F"/>
    <w:rsid w:val="7FFF4DBF"/>
    <w:rsid w:val="7FFF7EAA"/>
    <w:rsid w:val="837A7972"/>
    <w:rsid w:val="87BB5DC3"/>
    <w:rsid w:val="8E7F2BBE"/>
    <w:rsid w:val="8F39D723"/>
    <w:rsid w:val="8FFFA4A4"/>
    <w:rsid w:val="97AF610E"/>
    <w:rsid w:val="97DBAB92"/>
    <w:rsid w:val="9B37D53D"/>
    <w:rsid w:val="9BFF12C3"/>
    <w:rsid w:val="9DEDDA79"/>
    <w:rsid w:val="9E3FFC45"/>
    <w:rsid w:val="A3AA4FE8"/>
    <w:rsid w:val="A7A580DF"/>
    <w:rsid w:val="AAFF77B4"/>
    <w:rsid w:val="ACF3A2DD"/>
    <w:rsid w:val="ADEDF082"/>
    <w:rsid w:val="AEF9BB59"/>
    <w:rsid w:val="AFBE2D25"/>
    <w:rsid w:val="AFDBE877"/>
    <w:rsid w:val="AFFF5725"/>
    <w:rsid w:val="B1DF8768"/>
    <w:rsid w:val="B33FBBEC"/>
    <w:rsid w:val="B5E4DB62"/>
    <w:rsid w:val="B77EB340"/>
    <w:rsid w:val="B7BF6DB1"/>
    <w:rsid w:val="B8FE2DFC"/>
    <w:rsid w:val="B96FA0AE"/>
    <w:rsid w:val="BA1D61D4"/>
    <w:rsid w:val="BAB4B00B"/>
    <w:rsid w:val="BB4EEFCE"/>
    <w:rsid w:val="BBBFEE43"/>
    <w:rsid w:val="BBFF48F0"/>
    <w:rsid w:val="BD4F1C39"/>
    <w:rsid w:val="BDD339CF"/>
    <w:rsid w:val="BDDF5DB7"/>
    <w:rsid w:val="BEAECB27"/>
    <w:rsid w:val="BED3FE38"/>
    <w:rsid w:val="BEF53327"/>
    <w:rsid w:val="BF7B83E3"/>
    <w:rsid w:val="BFAC8A9B"/>
    <w:rsid w:val="BFFDBC73"/>
    <w:rsid w:val="C9BA97C6"/>
    <w:rsid w:val="C9FB6CF5"/>
    <w:rsid w:val="CBFF791E"/>
    <w:rsid w:val="CF8B8EA5"/>
    <w:rsid w:val="CF95BCA4"/>
    <w:rsid w:val="CF9DEC1C"/>
    <w:rsid w:val="D1FF4314"/>
    <w:rsid w:val="D76FE0B8"/>
    <w:rsid w:val="D7DFD33F"/>
    <w:rsid w:val="D7E7127B"/>
    <w:rsid w:val="D7EA0E95"/>
    <w:rsid w:val="D93DF128"/>
    <w:rsid w:val="DAB6FB0B"/>
    <w:rsid w:val="DB9D144A"/>
    <w:rsid w:val="DBD87382"/>
    <w:rsid w:val="DBF5DD28"/>
    <w:rsid w:val="DBF6704B"/>
    <w:rsid w:val="DBFA313D"/>
    <w:rsid w:val="DCFF7697"/>
    <w:rsid w:val="DDFEEA46"/>
    <w:rsid w:val="DEFBD33D"/>
    <w:rsid w:val="DF7AA325"/>
    <w:rsid w:val="DF7BC057"/>
    <w:rsid w:val="DF7DFB33"/>
    <w:rsid w:val="DF7F0ABD"/>
    <w:rsid w:val="DFB7F129"/>
    <w:rsid w:val="DFDBAB0E"/>
    <w:rsid w:val="DFE4A3E0"/>
    <w:rsid w:val="DFE78449"/>
    <w:rsid w:val="DFEF47D1"/>
    <w:rsid w:val="DFF3919C"/>
    <w:rsid w:val="DFF7D5C8"/>
    <w:rsid w:val="DFFF0BD9"/>
    <w:rsid w:val="E0FC906B"/>
    <w:rsid w:val="E21E9715"/>
    <w:rsid w:val="E34BB524"/>
    <w:rsid w:val="E53F6947"/>
    <w:rsid w:val="E6E7C672"/>
    <w:rsid w:val="E6F81E95"/>
    <w:rsid w:val="E7FBE0A0"/>
    <w:rsid w:val="E7FFBF60"/>
    <w:rsid w:val="EAF326AE"/>
    <w:rsid w:val="EBDF7387"/>
    <w:rsid w:val="EC3F3F17"/>
    <w:rsid w:val="ECFBAB86"/>
    <w:rsid w:val="ECFBACF9"/>
    <w:rsid w:val="ECFFEF6E"/>
    <w:rsid w:val="EDAF530B"/>
    <w:rsid w:val="EDBF1873"/>
    <w:rsid w:val="EDDFE7AF"/>
    <w:rsid w:val="EDFE024E"/>
    <w:rsid w:val="EEB6C08C"/>
    <w:rsid w:val="EECE55E8"/>
    <w:rsid w:val="EED7A131"/>
    <w:rsid w:val="EEEFD054"/>
    <w:rsid w:val="EEFEF70B"/>
    <w:rsid w:val="EEFF42A8"/>
    <w:rsid w:val="EEFF7534"/>
    <w:rsid w:val="EF7B0196"/>
    <w:rsid w:val="EF7F7532"/>
    <w:rsid w:val="EFB6EF46"/>
    <w:rsid w:val="EFD63C50"/>
    <w:rsid w:val="EFFD93B6"/>
    <w:rsid w:val="F1D1D6CC"/>
    <w:rsid w:val="F1DD80E8"/>
    <w:rsid w:val="F3DF00D7"/>
    <w:rsid w:val="F3FF32B3"/>
    <w:rsid w:val="F4B24C37"/>
    <w:rsid w:val="F5FF1FC6"/>
    <w:rsid w:val="F77B1081"/>
    <w:rsid w:val="F7BF68A5"/>
    <w:rsid w:val="F7CFCAA2"/>
    <w:rsid w:val="F7ED6A95"/>
    <w:rsid w:val="F7FB8812"/>
    <w:rsid w:val="F8FFD5F9"/>
    <w:rsid w:val="F92FA6D2"/>
    <w:rsid w:val="F9AED95E"/>
    <w:rsid w:val="FB3D7EDA"/>
    <w:rsid w:val="FB72619D"/>
    <w:rsid w:val="FB8FCA50"/>
    <w:rsid w:val="FBA7BD8E"/>
    <w:rsid w:val="FBD956D6"/>
    <w:rsid w:val="FBDF104A"/>
    <w:rsid w:val="FBF7B10E"/>
    <w:rsid w:val="FC92BC48"/>
    <w:rsid w:val="FCD730AD"/>
    <w:rsid w:val="FCFD6445"/>
    <w:rsid w:val="FDB9022C"/>
    <w:rsid w:val="FDCE2B40"/>
    <w:rsid w:val="FDCF41AA"/>
    <w:rsid w:val="FDDF5007"/>
    <w:rsid w:val="FDF5B481"/>
    <w:rsid w:val="FE07A61E"/>
    <w:rsid w:val="FE1FFC72"/>
    <w:rsid w:val="FEAF3E3B"/>
    <w:rsid w:val="FEE75EA5"/>
    <w:rsid w:val="FEFF23FC"/>
    <w:rsid w:val="FF63AACD"/>
    <w:rsid w:val="FF76FF2C"/>
    <w:rsid w:val="FF77B023"/>
    <w:rsid w:val="FF7B4E9B"/>
    <w:rsid w:val="FF7DAF72"/>
    <w:rsid w:val="FF7FEE98"/>
    <w:rsid w:val="FF9DA47B"/>
    <w:rsid w:val="FF9E25C1"/>
    <w:rsid w:val="FFA64A1E"/>
    <w:rsid w:val="FFD850A7"/>
    <w:rsid w:val="FFDBEB74"/>
    <w:rsid w:val="FFDD76CC"/>
    <w:rsid w:val="FFDF2589"/>
    <w:rsid w:val="FFDFD918"/>
    <w:rsid w:val="FFDFFBF5"/>
    <w:rsid w:val="FFEB3A45"/>
    <w:rsid w:val="FFEC2FBB"/>
    <w:rsid w:val="FFEF3F74"/>
    <w:rsid w:val="FFF7172A"/>
    <w:rsid w:val="FFFA636F"/>
    <w:rsid w:val="FFFB353E"/>
    <w:rsid w:val="FFFBF6DE"/>
    <w:rsid w:val="FFFEB709"/>
    <w:rsid w:val="FFFEBDCF"/>
    <w:rsid w:val="FFFF1827"/>
    <w:rsid w:val="FFFFCDE7"/>
    <w:rsid w:val="FFFFDC74"/>
    <w:rsid w:val="FFFFE3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360" w:lineRule="auto"/>
      <w:jc w:val="center"/>
      <w:outlineLvl w:val="1"/>
    </w:pPr>
    <w:rPr>
      <w:rFonts w:ascii="方正小标宋简体" w:hAnsi="宋体" w:eastAsia="方正小标宋简体" w:cs="华文中宋"/>
      <w:bCs/>
      <w:sz w:val="36"/>
      <w:szCs w:val="36"/>
      <w:lang w:val="en-G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208" w:beforeLines="0"/>
    </w:pPr>
    <w:rPr>
      <w:rFonts w:ascii="宋体" w:hAnsi="宋体" w:eastAsia="宋体" w:cs="宋体"/>
      <w:sz w:val="30"/>
      <w:szCs w:val="30"/>
      <w:lang w:val="en-US"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1"/>
    <w:unhideWhenUsed/>
    <w:qFormat/>
    <w:uiPriority w:val="99"/>
    <w:pPr>
      <w:spacing w:line="360" w:lineRule="auto"/>
      <w:jc w:val="center"/>
    </w:pPr>
    <w:rPr>
      <w:b/>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Emphasis"/>
    <w:qFormat/>
    <w:uiPriority w:val="0"/>
    <w:rPr>
      <w:i/>
    </w:rPr>
  </w:style>
  <w:style w:type="character" w:customStyle="1" w:styleId="12">
    <w:name w:val="awspan"/>
    <w:qFormat/>
    <w:uiPriority w:val="0"/>
  </w:style>
  <w:style w:type="character" w:customStyle="1" w:styleId="13">
    <w:name w:val="NormalCharacter"/>
    <w:qFormat/>
    <w:uiPriority w:val="0"/>
  </w:style>
  <w:style w:type="paragraph" w:customStyle="1" w:styleId="1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649</Words>
  <Characters>3700</Characters>
  <Lines>30</Lines>
  <Paragraphs>8</Paragraphs>
  <TotalTime>5</TotalTime>
  <ScaleCrop>false</ScaleCrop>
  <LinksUpToDate>false</LinksUpToDate>
  <CharactersWithSpaces>4341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2014-11-14T04:08:00Z</dcterms:created>
  <dc:creator>Administrator</dc:creator>
  <cp:lastModifiedBy> </cp:lastModifiedBy>
  <cp:lastPrinted>2023-02-06T08:44:00Z</cp:lastPrinted>
  <dcterms:modified xsi:type="dcterms:W3CDTF">2023-02-17T15:17:34Z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